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69" w:rsidRPr="001B0C6E" w:rsidRDefault="00DF1B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A</w:t>
      </w:r>
      <w:bookmarkStart w:id="0" w:name="_GoBack"/>
      <w:bookmarkEnd w:id="0"/>
    </w:p>
    <w:p w:rsidR="00B9318E" w:rsidRPr="002200EB" w:rsidRDefault="00B9318E" w:rsidP="002200EB">
      <w:pPr>
        <w:jc w:val="center"/>
        <w:rPr>
          <w:rFonts w:ascii="Arial" w:hAnsi="Arial" w:cs="Arial"/>
          <w:b/>
          <w:sz w:val="36"/>
          <w:szCs w:val="36"/>
        </w:rPr>
      </w:pPr>
      <w:r w:rsidRPr="002200EB">
        <w:rPr>
          <w:rFonts w:ascii="Arial" w:hAnsi="Arial" w:cs="Arial"/>
          <w:b/>
          <w:sz w:val="36"/>
          <w:szCs w:val="36"/>
        </w:rPr>
        <w:t>Lancashire Troubled Families Programme</w:t>
      </w:r>
    </w:p>
    <w:p w:rsidR="00B9318E" w:rsidRDefault="002200EB" w:rsidP="002200EB">
      <w:pPr>
        <w:spacing w:after="0"/>
        <w:jc w:val="center"/>
        <w:rPr>
          <w:rFonts w:ascii="Arial" w:hAnsi="Arial" w:cs="Arial"/>
          <w:b/>
          <w:sz w:val="36"/>
          <w:szCs w:val="36"/>
        </w:rPr>
      </w:pPr>
      <w:r>
        <w:rPr>
          <w:rFonts w:ascii="Arial" w:hAnsi="Arial" w:cs="Arial"/>
          <w:b/>
          <w:sz w:val="36"/>
          <w:szCs w:val="36"/>
        </w:rPr>
        <w:t xml:space="preserve">Proposal for Nursery sector pilot </w:t>
      </w:r>
    </w:p>
    <w:p w:rsidR="002200EB" w:rsidRPr="002200EB" w:rsidRDefault="002200EB" w:rsidP="00386222">
      <w:pPr>
        <w:ind w:left="-567"/>
        <w:rPr>
          <w:rFonts w:ascii="Arial" w:hAnsi="Arial" w:cs="Arial"/>
          <w:b/>
          <w:sz w:val="16"/>
          <w:szCs w:val="16"/>
        </w:rPr>
      </w:pPr>
    </w:p>
    <w:p w:rsidR="002200EB" w:rsidRPr="000565E0" w:rsidRDefault="002200EB" w:rsidP="00386222">
      <w:pPr>
        <w:pStyle w:val="ListParagraph"/>
        <w:numPr>
          <w:ilvl w:val="0"/>
          <w:numId w:val="10"/>
        </w:numPr>
        <w:ind w:left="-567" w:firstLine="0"/>
        <w:rPr>
          <w:rFonts w:ascii="Arial" w:hAnsi="Arial" w:cs="Arial"/>
          <w:b/>
          <w:sz w:val="28"/>
          <w:szCs w:val="28"/>
        </w:rPr>
      </w:pPr>
      <w:r w:rsidRPr="000565E0">
        <w:rPr>
          <w:rFonts w:ascii="Arial" w:hAnsi="Arial" w:cs="Arial"/>
          <w:b/>
          <w:sz w:val="28"/>
          <w:szCs w:val="28"/>
        </w:rPr>
        <w:t>Background</w:t>
      </w:r>
    </w:p>
    <w:p w:rsidR="001B0C6E" w:rsidRDefault="00B9318E" w:rsidP="00386222">
      <w:pPr>
        <w:ind w:left="-567"/>
        <w:rPr>
          <w:rFonts w:ascii="Arial" w:hAnsi="Arial" w:cs="Arial"/>
        </w:rPr>
      </w:pPr>
      <w:r w:rsidRPr="001B0C6E">
        <w:rPr>
          <w:rFonts w:ascii="Arial" w:hAnsi="Arial" w:cs="Arial"/>
        </w:rPr>
        <w:t>Children and Family Wellbeing Service lead on the delivery of the Troubled Families Programme in Lancashire, where Phase 2 of the programme anticipates the authority working with 8620 families over a five y</w:t>
      </w:r>
      <w:r w:rsidR="001B0C6E">
        <w:rPr>
          <w:rFonts w:ascii="Arial" w:hAnsi="Arial" w:cs="Arial"/>
        </w:rPr>
        <w:t>ear period concluding in 2020.</w:t>
      </w:r>
    </w:p>
    <w:p w:rsidR="00B9318E" w:rsidRDefault="00B9318E" w:rsidP="00386222">
      <w:pPr>
        <w:spacing w:after="0"/>
        <w:ind w:left="-567"/>
        <w:rPr>
          <w:rFonts w:ascii="Arial" w:hAnsi="Arial" w:cs="Arial"/>
        </w:rPr>
      </w:pPr>
      <w:r w:rsidRPr="001B0C6E">
        <w:rPr>
          <w:rFonts w:ascii="Arial" w:hAnsi="Arial" w:cs="Arial"/>
        </w:rPr>
        <w:t xml:space="preserve">The programme aims to provide intensive support to families who </w:t>
      </w:r>
      <w:r w:rsidR="001B0C6E" w:rsidRPr="001B0C6E">
        <w:rPr>
          <w:rFonts w:ascii="Arial" w:hAnsi="Arial" w:cs="Arial"/>
        </w:rPr>
        <w:t xml:space="preserve">are experiencing multiple complex issues affecting the quality of their lives and the welfare of </w:t>
      </w:r>
      <w:r w:rsidR="001B0C6E">
        <w:rPr>
          <w:rFonts w:ascii="Arial" w:hAnsi="Arial" w:cs="Arial"/>
        </w:rPr>
        <w:t xml:space="preserve">the </w:t>
      </w:r>
      <w:r w:rsidR="001B0C6E" w:rsidRPr="001B0C6E">
        <w:rPr>
          <w:rFonts w:ascii="Arial" w:hAnsi="Arial" w:cs="Arial"/>
        </w:rPr>
        <w:t xml:space="preserve">children in the family.  Through </w:t>
      </w:r>
      <w:r w:rsidR="001B0C6E">
        <w:rPr>
          <w:rFonts w:ascii="Arial" w:hAnsi="Arial" w:cs="Arial"/>
        </w:rPr>
        <w:t>targeted</w:t>
      </w:r>
      <w:r w:rsidR="001B0C6E" w:rsidRPr="001B0C6E">
        <w:rPr>
          <w:rFonts w:ascii="Arial" w:hAnsi="Arial" w:cs="Arial"/>
        </w:rPr>
        <w:t xml:space="preserve"> interventions with the family, we are tasked with evidencing </w:t>
      </w:r>
      <w:r w:rsidR="001B0C6E" w:rsidRPr="001B0C6E">
        <w:rPr>
          <w:rFonts w:ascii="Arial" w:hAnsi="Arial" w:cs="Arial"/>
          <w:u w:val="single"/>
        </w:rPr>
        <w:t>significant</w:t>
      </w:r>
      <w:r w:rsidR="001B0C6E" w:rsidRPr="001B0C6E">
        <w:rPr>
          <w:rFonts w:ascii="Arial" w:hAnsi="Arial" w:cs="Arial"/>
        </w:rPr>
        <w:t xml:space="preserve"> and </w:t>
      </w:r>
      <w:r w:rsidR="001B0C6E" w:rsidRPr="001B0C6E">
        <w:rPr>
          <w:rFonts w:ascii="Arial" w:hAnsi="Arial" w:cs="Arial"/>
          <w:u w:val="single"/>
        </w:rPr>
        <w:t>sustained</w:t>
      </w:r>
      <w:r w:rsidR="001B0C6E" w:rsidRPr="001B0C6E">
        <w:rPr>
          <w:rFonts w:ascii="Arial" w:hAnsi="Arial" w:cs="Arial"/>
        </w:rPr>
        <w:t xml:space="preserve"> progress </w:t>
      </w:r>
      <w:r w:rsidR="001B0C6E">
        <w:rPr>
          <w:rFonts w:ascii="Arial" w:hAnsi="Arial" w:cs="Arial"/>
        </w:rPr>
        <w:t xml:space="preserve">made </w:t>
      </w:r>
      <w:r w:rsidR="001B0C6E" w:rsidRPr="001B0C6E">
        <w:rPr>
          <w:rFonts w:ascii="Arial" w:hAnsi="Arial" w:cs="Arial"/>
        </w:rPr>
        <w:t>by the family in response to a minimum of two</w:t>
      </w:r>
      <w:r w:rsidR="001B0C6E">
        <w:rPr>
          <w:rFonts w:ascii="Arial" w:hAnsi="Arial" w:cs="Arial"/>
        </w:rPr>
        <w:t xml:space="preserve"> key national criteria;</w:t>
      </w:r>
    </w:p>
    <w:p w:rsidR="00201A0D" w:rsidRDefault="00201A0D" w:rsidP="00386222">
      <w:pPr>
        <w:spacing w:after="0"/>
        <w:ind w:left="-567"/>
        <w:rPr>
          <w:rFonts w:ascii="Arial" w:hAnsi="Arial" w:cs="Arial"/>
        </w:rPr>
      </w:pPr>
    </w:p>
    <w:p w:rsidR="001B0C6E" w:rsidRDefault="001B0C6E" w:rsidP="00201A0D">
      <w:pPr>
        <w:numPr>
          <w:ilvl w:val="0"/>
          <w:numId w:val="1"/>
        </w:numPr>
        <w:shd w:val="clear" w:color="auto" w:fill="D9D9D9" w:themeFill="background1" w:themeFillShade="D9"/>
        <w:spacing w:before="240" w:line="240" w:lineRule="auto"/>
        <w:ind w:left="-567" w:firstLine="0"/>
        <w:contextualSpacing/>
        <w:rPr>
          <w:rFonts w:ascii="Arial" w:hAnsi="Arial"/>
        </w:rPr>
      </w:pPr>
      <w:r>
        <w:rPr>
          <w:rFonts w:ascii="Arial" w:hAnsi="Arial"/>
        </w:rPr>
        <w:t>Parents or children involved in crime / anti-social behaviour</w:t>
      </w:r>
    </w:p>
    <w:p w:rsidR="001B0C6E" w:rsidRDefault="001B0C6E" w:rsidP="00201A0D">
      <w:pPr>
        <w:numPr>
          <w:ilvl w:val="0"/>
          <w:numId w:val="1"/>
        </w:numPr>
        <w:shd w:val="clear" w:color="auto" w:fill="D9D9D9" w:themeFill="background1" w:themeFillShade="D9"/>
        <w:spacing w:before="240" w:line="240" w:lineRule="auto"/>
        <w:ind w:left="-567" w:firstLine="0"/>
        <w:contextualSpacing/>
        <w:rPr>
          <w:rFonts w:ascii="Arial" w:hAnsi="Arial"/>
        </w:rPr>
      </w:pPr>
      <w:r>
        <w:rPr>
          <w:rFonts w:ascii="Arial" w:hAnsi="Arial"/>
        </w:rPr>
        <w:t>Children who have not been attending school regularly</w:t>
      </w:r>
    </w:p>
    <w:p w:rsidR="001B0C6E" w:rsidRDefault="001B0C6E" w:rsidP="00201A0D">
      <w:pPr>
        <w:numPr>
          <w:ilvl w:val="0"/>
          <w:numId w:val="1"/>
        </w:numPr>
        <w:shd w:val="clear" w:color="auto" w:fill="D9D9D9" w:themeFill="background1" w:themeFillShade="D9"/>
        <w:spacing w:before="240" w:line="240" w:lineRule="auto"/>
        <w:ind w:left="-567" w:firstLine="0"/>
        <w:contextualSpacing/>
        <w:rPr>
          <w:rFonts w:ascii="Arial" w:hAnsi="Arial"/>
        </w:rPr>
      </w:pPr>
      <w:r>
        <w:rPr>
          <w:rFonts w:ascii="Arial" w:hAnsi="Arial"/>
        </w:rPr>
        <w:t>Children who need help, identified as in need or subject to a child protection plan</w:t>
      </w:r>
    </w:p>
    <w:p w:rsidR="001B0C6E" w:rsidRDefault="001B0C6E" w:rsidP="00201A0D">
      <w:pPr>
        <w:numPr>
          <w:ilvl w:val="0"/>
          <w:numId w:val="1"/>
        </w:numPr>
        <w:shd w:val="clear" w:color="auto" w:fill="D9D9D9" w:themeFill="background1" w:themeFillShade="D9"/>
        <w:spacing w:before="240" w:line="240" w:lineRule="auto"/>
        <w:ind w:left="-567" w:firstLine="0"/>
        <w:contextualSpacing/>
        <w:rPr>
          <w:rFonts w:ascii="Arial" w:hAnsi="Arial"/>
        </w:rPr>
      </w:pPr>
      <w:r>
        <w:rPr>
          <w:rFonts w:ascii="Arial" w:hAnsi="Arial"/>
        </w:rPr>
        <w:t>Adults out of work or at risk of financial exclusion or young people at risk of worklessness</w:t>
      </w:r>
    </w:p>
    <w:p w:rsidR="001B0C6E" w:rsidRDefault="001B0C6E" w:rsidP="00201A0D">
      <w:pPr>
        <w:numPr>
          <w:ilvl w:val="0"/>
          <w:numId w:val="1"/>
        </w:numPr>
        <w:shd w:val="clear" w:color="auto" w:fill="D9D9D9" w:themeFill="background1" w:themeFillShade="D9"/>
        <w:spacing w:before="240" w:line="240" w:lineRule="auto"/>
        <w:ind w:left="-567" w:firstLine="0"/>
        <w:contextualSpacing/>
        <w:rPr>
          <w:rFonts w:ascii="Arial" w:hAnsi="Arial"/>
        </w:rPr>
      </w:pPr>
      <w:r>
        <w:rPr>
          <w:rFonts w:ascii="Arial" w:hAnsi="Arial"/>
        </w:rPr>
        <w:t>Families affected by domestic violence and abuse</w:t>
      </w:r>
    </w:p>
    <w:p w:rsidR="001B0C6E" w:rsidRPr="001B0C6E" w:rsidRDefault="001B0C6E" w:rsidP="00201A0D">
      <w:pPr>
        <w:numPr>
          <w:ilvl w:val="0"/>
          <w:numId w:val="1"/>
        </w:numPr>
        <w:shd w:val="clear" w:color="auto" w:fill="D9D9D9" w:themeFill="background1" w:themeFillShade="D9"/>
        <w:spacing w:before="240" w:line="240" w:lineRule="auto"/>
        <w:ind w:left="-567" w:firstLine="0"/>
        <w:contextualSpacing/>
        <w:rPr>
          <w:rFonts w:ascii="Arial" w:hAnsi="Arial"/>
        </w:rPr>
      </w:pPr>
      <w:r>
        <w:rPr>
          <w:rFonts w:ascii="Arial" w:hAnsi="Arial"/>
        </w:rPr>
        <w:t>Parents or children with a range of health problems</w:t>
      </w:r>
    </w:p>
    <w:p w:rsidR="002200EB" w:rsidRDefault="002200EB" w:rsidP="00386222">
      <w:pPr>
        <w:spacing w:after="0"/>
        <w:ind w:left="-567"/>
        <w:rPr>
          <w:rFonts w:ascii="Arial" w:hAnsi="Arial" w:cs="Arial"/>
        </w:rPr>
      </w:pPr>
    </w:p>
    <w:p w:rsidR="001B0C6E" w:rsidRDefault="002200EB" w:rsidP="00386222">
      <w:pPr>
        <w:ind w:left="-567"/>
        <w:rPr>
          <w:rFonts w:ascii="Arial" w:hAnsi="Arial" w:cs="Arial"/>
        </w:rPr>
      </w:pPr>
      <w:r>
        <w:rPr>
          <w:rFonts w:ascii="Arial" w:hAnsi="Arial" w:cs="Arial"/>
        </w:rPr>
        <w:t xml:space="preserve">The programme funding arrangement is structured around a 'payment by result' (PBR) mechanism.  This means that as a family is 'attached' to the programme, an initial payment of £800 is levied to the authority as the work with the family begins.  </w:t>
      </w:r>
      <w:r w:rsidR="001B0C6E">
        <w:rPr>
          <w:rFonts w:ascii="Arial" w:hAnsi="Arial" w:cs="Arial"/>
        </w:rPr>
        <w:t xml:space="preserve">National measures are </w:t>
      </w:r>
      <w:r>
        <w:rPr>
          <w:rFonts w:ascii="Arial" w:hAnsi="Arial" w:cs="Arial"/>
        </w:rPr>
        <w:t xml:space="preserve">then </w:t>
      </w:r>
      <w:r w:rsidR="001B0C6E">
        <w:rPr>
          <w:rFonts w:ascii="Arial" w:hAnsi="Arial" w:cs="Arial"/>
        </w:rPr>
        <w:t xml:space="preserve">provided as the benchmarks that qualify for both </w:t>
      </w:r>
      <w:r>
        <w:rPr>
          <w:rFonts w:ascii="Arial" w:hAnsi="Arial" w:cs="Arial"/>
        </w:rPr>
        <w:t>'significant' and 'sustained' change and only when</w:t>
      </w:r>
      <w:r w:rsidR="001B0C6E">
        <w:rPr>
          <w:rFonts w:ascii="Arial" w:hAnsi="Arial" w:cs="Arial"/>
        </w:rPr>
        <w:t xml:space="preserve"> such evidence of change can be provided</w:t>
      </w:r>
      <w:r>
        <w:rPr>
          <w:rFonts w:ascii="Arial" w:hAnsi="Arial" w:cs="Arial"/>
        </w:rPr>
        <w:t>, and independently verified by audit, a final (PBR) claim of £1000 can be made for the work undertaken.</w:t>
      </w:r>
      <w:r w:rsidR="001B0C6E">
        <w:rPr>
          <w:rFonts w:ascii="Arial" w:hAnsi="Arial" w:cs="Arial"/>
        </w:rPr>
        <w:t xml:space="preserve"> </w:t>
      </w:r>
    </w:p>
    <w:p w:rsidR="00AC11AA" w:rsidRDefault="001B0C6E" w:rsidP="00386222">
      <w:pPr>
        <w:ind w:left="-567"/>
        <w:rPr>
          <w:rFonts w:ascii="Arial" w:hAnsi="Arial" w:cs="Arial"/>
        </w:rPr>
      </w:pPr>
      <w:r w:rsidRPr="001B0C6E">
        <w:rPr>
          <w:rFonts w:ascii="Arial" w:hAnsi="Arial" w:cs="Arial"/>
        </w:rPr>
        <w:t>Lancashire has been able to demonstrate significant progress in response to the requirements of the programme</w:t>
      </w:r>
      <w:r w:rsidR="002200EB">
        <w:rPr>
          <w:rFonts w:ascii="Arial" w:hAnsi="Arial" w:cs="Arial"/>
        </w:rPr>
        <w:t>.  T</w:t>
      </w:r>
      <w:r w:rsidRPr="001B0C6E">
        <w:rPr>
          <w:rFonts w:ascii="Arial" w:hAnsi="Arial" w:cs="Arial"/>
        </w:rPr>
        <w:t>o date</w:t>
      </w:r>
      <w:r w:rsidR="002200EB">
        <w:rPr>
          <w:rFonts w:ascii="Arial" w:hAnsi="Arial" w:cs="Arial"/>
        </w:rPr>
        <w:t xml:space="preserve"> over 10,000 families who have been identified as meeting (at least two) of the programme criteria </w:t>
      </w:r>
      <w:r w:rsidR="00AC11AA">
        <w:rPr>
          <w:rFonts w:ascii="Arial" w:hAnsi="Arial" w:cs="Arial"/>
        </w:rPr>
        <w:t xml:space="preserve">and </w:t>
      </w:r>
      <w:r w:rsidR="002200EB">
        <w:rPr>
          <w:rFonts w:ascii="Arial" w:hAnsi="Arial" w:cs="Arial"/>
        </w:rPr>
        <w:t>have been attached to the programme,</w:t>
      </w:r>
      <w:r w:rsidRPr="001B0C6E">
        <w:rPr>
          <w:rFonts w:ascii="Arial" w:hAnsi="Arial" w:cs="Arial"/>
        </w:rPr>
        <w:t xml:space="preserve"> </w:t>
      </w:r>
      <w:r w:rsidR="002200EB">
        <w:rPr>
          <w:rFonts w:ascii="Arial" w:hAnsi="Arial" w:cs="Arial"/>
        </w:rPr>
        <w:t>which exceeds</w:t>
      </w:r>
      <w:r w:rsidRPr="001B0C6E">
        <w:rPr>
          <w:rFonts w:ascii="Arial" w:hAnsi="Arial" w:cs="Arial"/>
        </w:rPr>
        <w:t xml:space="preserve"> </w:t>
      </w:r>
      <w:r w:rsidR="002200EB">
        <w:rPr>
          <w:rFonts w:ascii="Arial" w:hAnsi="Arial" w:cs="Arial"/>
        </w:rPr>
        <w:t xml:space="preserve">the anticipated profile.  </w:t>
      </w:r>
    </w:p>
    <w:p w:rsidR="002200EB" w:rsidRDefault="002200EB" w:rsidP="00386222">
      <w:pPr>
        <w:ind w:left="-567"/>
        <w:rPr>
          <w:rFonts w:ascii="Arial" w:hAnsi="Arial" w:cs="Arial"/>
          <w:color w:val="1F497D"/>
        </w:rPr>
      </w:pPr>
      <w:r>
        <w:rPr>
          <w:rFonts w:ascii="Arial" w:hAnsi="Arial" w:cs="Arial"/>
        </w:rPr>
        <w:t>To date, there</w:t>
      </w:r>
      <w:r w:rsidR="001B0C6E" w:rsidRPr="001B0C6E">
        <w:rPr>
          <w:rFonts w:ascii="Arial" w:hAnsi="Arial" w:cs="Arial"/>
        </w:rPr>
        <w:t xml:space="preserve"> </w:t>
      </w:r>
      <w:r>
        <w:rPr>
          <w:rFonts w:ascii="Arial" w:hAnsi="Arial" w:cs="Arial"/>
        </w:rPr>
        <w:t>have been</w:t>
      </w:r>
      <w:r w:rsidR="001B0C6E" w:rsidRPr="001B0C6E">
        <w:rPr>
          <w:rFonts w:ascii="Arial" w:hAnsi="Arial" w:cs="Arial"/>
        </w:rPr>
        <w:t xml:space="preserve"> </w:t>
      </w:r>
      <w:r w:rsidRPr="001F1573">
        <w:rPr>
          <w:rFonts w:ascii="Arial" w:hAnsi="Arial" w:cs="Arial"/>
        </w:rPr>
        <w:t>2,340</w:t>
      </w:r>
      <w:r w:rsidR="001B0C6E" w:rsidRPr="001B0C6E">
        <w:rPr>
          <w:rFonts w:ascii="Arial" w:hAnsi="Arial" w:cs="Arial"/>
        </w:rPr>
        <w:t xml:space="preserve"> claims </w:t>
      </w:r>
      <w:r>
        <w:rPr>
          <w:rFonts w:ascii="Arial" w:hAnsi="Arial" w:cs="Arial"/>
        </w:rPr>
        <w:t xml:space="preserve">made </w:t>
      </w:r>
      <w:r w:rsidR="001B0C6E" w:rsidRPr="001B0C6E">
        <w:rPr>
          <w:rFonts w:ascii="Arial" w:hAnsi="Arial" w:cs="Arial"/>
        </w:rPr>
        <w:t>for 'Payment by Results (PBR)</w:t>
      </w:r>
      <w:r>
        <w:rPr>
          <w:rFonts w:ascii="Arial" w:hAnsi="Arial" w:cs="Arial"/>
        </w:rPr>
        <w:t xml:space="preserve"> where families we have worked with have demonstrated significant changes which have been sustained.  For some criteria this has been for between six and twelve months which involves us monitoring the family for the extent of this period, checking that changes are being sustained before a claim can then be submitted to the national programme</w:t>
      </w:r>
      <w:r w:rsidR="001B0C6E" w:rsidRPr="001B0C6E">
        <w:rPr>
          <w:rFonts w:ascii="Arial" w:hAnsi="Arial" w:cs="Arial"/>
        </w:rPr>
        <w:t>.</w:t>
      </w:r>
    </w:p>
    <w:p w:rsidR="002200EB" w:rsidRPr="000565E0" w:rsidRDefault="002200EB" w:rsidP="00386222">
      <w:pPr>
        <w:pStyle w:val="ListParagraph"/>
        <w:numPr>
          <w:ilvl w:val="0"/>
          <w:numId w:val="10"/>
        </w:numPr>
        <w:ind w:left="-567" w:firstLine="0"/>
        <w:rPr>
          <w:rFonts w:ascii="Arial" w:hAnsi="Arial" w:cs="Arial"/>
          <w:b/>
          <w:sz w:val="28"/>
          <w:szCs w:val="28"/>
        </w:rPr>
      </w:pPr>
      <w:r w:rsidRPr="000565E0">
        <w:rPr>
          <w:rFonts w:ascii="Arial" w:hAnsi="Arial" w:cs="Arial"/>
          <w:b/>
          <w:sz w:val="28"/>
          <w:szCs w:val="28"/>
        </w:rPr>
        <w:t>Nursery sector engagement.</w:t>
      </w:r>
    </w:p>
    <w:p w:rsidR="00AC11AA" w:rsidRDefault="002200EB" w:rsidP="00386222">
      <w:pPr>
        <w:ind w:left="-567"/>
        <w:rPr>
          <w:rFonts w:ascii="Arial" w:hAnsi="Arial" w:cs="Arial"/>
        </w:rPr>
      </w:pPr>
      <w:r w:rsidRPr="002200EB">
        <w:rPr>
          <w:rFonts w:ascii="Arial" w:hAnsi="Arial" w:cs="Arial"/>
        </w:rPr>
        <w:t xml:space="preserve">From close working with representatives of the Nursery sector in Lancashire, we are aware that the sector identifies that it works extensively with families connected to individual </w:t>
      </w:r>
      <w:r>
        <w:rPr>
          <w:rFonts w:ascii="Arial" w:hAnsi="Arial" w:cs="Arial"/>
        </w:rPr>
        <w:t xml:space="preserve">nursery </w:t>
      </w:r>
      <w:r w:rsidRPr="002200EB">
        <w:rPr>
          <w:rFonts w:ascii="Arial" w:hAnsi="Arial" w:cs="Arial"/>
        </w:rPr>
        <w:t>settings</w:t>
      </w:r>
      <w:r>
        <w:rPr>
          <w:rFonts w:ascii="Arial" w:hAnsi="Arial" w:cs="Arial"/>
        </w:rPr>
        <w:t>,</w:t>
      </w:r>
      <w:r w:rsidRPr="002200EB">
        <w:rPr>
          <w:rFonts w:ascii="Arial" w:hAnsi="Arial" w:cs="Arial"/>
        </w:rPr>
        <w:t xml:space="preserve"> through the involvement of one or mo</w:t>
      </w:r>
      <w:r w:rsidR="00AC11AA">
        <w:rPr>
          <w:rFonts w:ascii="Arial" w:hAnsi="Arial" w:cs="Arial"/>
        </w:rPr>
        <w:t>re of their children attending N</w:t>
      </w:r>
      <w:r w:rsidRPr="002200EB">
        <w:rPr>
          <w:rFonts w:ascii="Arial" w:hAnsi="Arial" w:cs="Arial"/>
        </w:rPr>
        <w:t>ursery</w:t>
      </w:r>
      <w:r w:rsidR="00AC11AA">
        <w:rPr>
          <w:rFonts w:ascii="Arial" w:hAnsi="Arial" w:cs="Arial"/>
        </w:rPr>
        <w:t xml:space="preserve"> provision</w:t>
      </w:r>
      <w:r w:rsidRPr="002200EB">
        <w:rPr>
          <w:rFonts w:ascii="Arial" w:hAnsi="Arial" w:cs="Arial"/>
        </w:rPr>
        <w:t xml:space="preserve">.  </w:t>
      </w:r>
    </w:p>
    <w:p w:rsidR="001B0C6E" w:rsidRDefault="002200EB" w:rsidP="00386222">
      <w:pPr>
        <w:ind w:left="-567"/>
        <w:rPr>
          <w:rFonts w:ascii="Arial" w:hAnsi="Arial" w:cs="Arial"/>
        </w:rPr>
      </w:pPr>
      <w:r w:rsidRPr="002200EB">
        <w:rPr>
          <w:rFonts w:ascii="Arial" w:hAnsi="Arial" w:cs="Arial"/>
        </w:rPr>
        <w:t xml:space="preserve">Representatives of the sector have described the quality of relationships and the intensive work that they undertake with </w:t>
      </w:r>
      <w:r w:rsidR="00AC11AA">
        <w:rPr>
          <w:rFonts w:ascii="Arial" w:hAnsi="Arial" w:cs="Arial"/>
        </w:rPr>
        <w:t>these</w:t>
      </w:r>
      <w:r w:rsidRPr="002200EB">
        <w:rPr>
          <w:rFonts w:ascii="Arial" w:hAnsi="Arial" w:cs="Arial"/>
        </w:rPr>
        <w:t xml:space="preserve"> families </w:t>
      </w:r>
      <w:r w:rsidR="00AC11AA">
        <w:rPr>
          <w:rFonts w:ascii="Arial" w:hAnsi="Arial" w:cs="Arial"/>
        </w:rPr>
        <w:t>and</w:t>
      </w:r>
      <w:r w:rsidRPr="002200EB">
        <w:rPr>
          <w:rFonts w:ascii="Arial" w:hAnsi="Arial" w:cs="Arial"/>
        </w:rPr>
        <w:t xml:space="preserve"> their attendant children and it has been identified that this activity could contribute directly to the </w:t>
      </w:r>
      <w:r w:rsidR="00AC11AA">
        <w:rPr>
          <w:rFonts w:ascii="Arial" w:hAnsi="Arial" w:cs="Arial"/>
        </w:rPr>
        <w:t>requirements</w:t>
      </w:r>
      <w:r w:rsidRPr="002200EB">
        <w:rPr>
          <w:rFonts w:ascii="Arial" w:hAnsi="Arial" w:cs="Arial"/>
        </w:rPr>
        <w:t xml:space="preserve"> of the Troubled Families Programme. </w:t>
      </w:r>
    </w:p>
    <w:p w:rsidR="00AC11AA" w:rsidRDefault="00AC11AA" w:rsidP="00201A0D">
      <w:pPr>
        <w:ind w:left="-567"/>
        <w:rPr>
          <w:rFonts w:ascii="Arial" w:hAnsi="Arial" w:cs="Arial"/>
        </w:rPr>
      </w:pPr>
      <w:r>
        <w:rPr>
          <w:rFonts w:ascii="Arial" w:hAnsi="Arial" w:cs="Arial"/>
        </w:rPr>
        <w:t xml:space="preserve">It is proposed that this </w:t>
      </w:r>
      <w:r w:rsidR="002200EB">
        <w:rPr>
          <w:rFonts w:ascii="Arial" w:hAnsi="Arial" w:cs="Arial"/>
        </w:rPr>
        <w:t xml:space="preserve">is explored </w:t>
      </w:r>
      <w:r>
        <w:rPr>
          <w:rFonts w:ascii="Arial" w:hAnsi="Arial" w:cs="Arial"/>
        </w:rPr>
        <w:t>further by involving</w:t>
      </w:r>
      <w:r w:rsidR="002200EB">
        <w:rPr>
          <w:rFonts w:ascii="Arial" w:hAnsi="Arial" w:cs="Arial"/>
        </w:rPr>
        <w:t xml:space="preserve"> 'nominated nursery settings'</w:t>
      </w:r>
      <w:r>
        <w:rPr>
          <w:rFonts w:ascii="Arial" w:hAnsi="Arial" w:cs="Arial"/>
        </w:rPr>
        <w:t xml:space="preserve"> in the response to the national programme</w:t>
      </w:r>
      <w:r w:rsidR="002200EB">
        <w:rPr>
          <w:rFonts w:ascii="Arial" w:hAnsi="Arial" w:cs="Arial"/>
        </w:rPr>
        <w:t xml:space="preserve">.  </w:t>
      </w:r>
    </w:p>
    <w:p w:rsidR="00AC11AA" w:rsidRDefault="00AC11AA" w:rsidP="00201A0D">
      <w:pPr>
        <w:ind w:left="-567"/>
        <w:rPr>
          <w:rFonts w:ascii="Arial" w:hAnsi="Arial" w:cs="Arial"/>
        </w:rPr>
      </w:pPr>
    </w:p>
    <w:p w:rsidR="00AC11AA" w:rsidRDefault="00AC11AA" w:rsidP="00201A0D">
      <w:pPr>
        <w:ind w:left="-567"/>
        <w:rPr>
          <w:rFonts w:ascii="Arial" w:hAnsi="Arial" w:cs="Arial"/>
        </w:rPr>
      </w:pPr>
    </w:p>
    <w:p w:rsidR="002200EB" w:rsidRDefault="00AC11AA" w:rsidP="00201A0D">
      <w:pPr>
        <w:ind w:left="-567"/>
        <w:rPr>
          <w:rFonts w:ascii="Arial" w:hAnsi="Arial" w:cs="Arial"/>
        </w:rPr>
      </w:pPr>
      <w:r>
        <w:rPr>
          <w:rFonts w:ascii="Arial" w:hAnsi="Arial" w:cs="Arial"/>
        </w:rPr>
        <w:t>It is proposed that e</w:t>
      </w:r>
      <w:r w:rsidR="002200EB" w:rsidRPr="002200EB">
        <w:rPr>
          <w:rFonts w:ascii="Arial" w:hAnsi="Arial" w:cs="Arial"/>
        </w:rPr>
        <w:t xml:space="preserve">ach setting involved in the </w:t>
      </w:r>
      <w:r>
        <w:rPr>
          <w:rFonts w:ascii="Arial" w:hAnsi="Arial" w:cs="Arial"/>
        </w:rPr>
        <w:t>Nursery staff</w:t>
      </w:r>
      <w:r w:rsidR="002200EB" w:rsidRPr="002200EB">
        <w:rPr>
          <w:rFonts w:ascii="Arial" w:hAnsi="Arial" w:cs="Arial"/>
        </w:rPr>
        <w:t xml:space="preserve"> would</w:t>
      </w:r>
      <w:r w:rsidR="002200EB">
        <w:rPr>
          <w:rFonts w:ascii="Arial" w:hAnsi="Arial" w:cs="Arial"/>
        </w:rPr>
        <w:t>;</w:t>
      </w:r>
    </w:p>
    <w:p w:rsidR="002200EB" w:rsidRDefault="002200EB" w:rsidP="00386222">
      <w:pPr>
        <w:pStyle w:val="ListParagraph"/>
        <w:numPr>
          <w:ilvl w:val="0"/>
          <w:numId w:val="3"/>
        </w:numPr>
        <w:spacing w:after="0"/>
        <w:ind w:left="-567" w:firstLine="0"/>
        <w:rPr>
          <w:rFonts w:ascii="Arial" w:hAnsi="Arial" w:cs="Arial"/>
        </w:rPr>
      </w:pPr>
      <w:r>
        <w:rPr>
          <w:rFonts w:ascii="Arial" w:hAnsi="Arial" w:cs="Arial"/>
        </w:rPr>
        <w:t>W</w:t>
      </w:r>
      <w:r w:rsidRPr="002200EB">
        <w:rPr>
          <w:rFonts w:ascii="Arial" w:hAnsi="Arial" w:cs="Arial"/>
        </w:rPr>
        <w:t xml:space="preserve">ork with a </w:t>
      </w:r>
      <w:r w:rsidRPr="002200EB">
        <w:rPr>
          <w:rFonts w:ascii="Arial" w:hAnsi="Arial" w:cs="Arial"/>
          <w:b/>
        </w:rPr>
        <w:t>'nominated number of families'</w:t>
      </w:r>
      <w:r w:rsidRPr="002200EB">
        <w:rPr>
          <w:rFonts w:ascii="Arial" w:hAnsi="Arial" w:cs="Arial"/>
        </w:rPr>
        <w:t xml:space="preserve"> who are currently attached to the TF programme and who are </w:t>
      </w:r>
      <w:r w:rsidR="00AC11AA">
        <w:rPr>
          <w:rFonts w:ascii="Arial" w:hAnsi="Arial" w:cs="Arial"/>
        </w:rPr>
        <w:t>naturally attached to their N</w:t>
      </w:r>
      <w:r w:rsidRPr="002200EB">
        <w:rPr>
          <w:rFonts w:ascii="Arial" w:hAnsi="Arial" w:cs="Arial"/>
        </w:rPr>
        <w:t xml:space="preserve">ursery setting through </w:t>
      </w:r>
      <w:r w:rsidR="00AC11AA">
        <w:rPr>
          <w:rFonts w:ascii="Arial" w:hAnsi="Arial" w:cs="Arial"/>
        </w:rPr>
        <w:t>attendance of one of more of their children</w:t>
      </w:r>
    </w:p>
    <w:p w:rsidR="00AC11AA" w:rsidRPr="00AC11AA" w:rsidRDefault="00AC11AA" w:rsidP="00AC11AA">
      <w:pPr>
        <w:spacing w:after="0"/>
        <w:ind w:left="-567"/>
        <w:rPr>
          <w:rFonts w:ascii="Arial" w:hAnsi="Arial" w:cs="Arial"/>
        </w:rPr>
      </w:pPr>
    </w:p>
    <w:p w:rsidR="00AC11AA" w:rsidRDefault="002200EB" w:rsidP="00AC11AA">
      <w:pPr>
        <w:pStyle w:val="ListParagraph"/>
        <w:numPr>
          <w:ilvl w:val="0"/>
          <w:numId w:val="3"/>
        </w:numPr>
        <w:ind w:left="-567" w:firstLine="0"/>
        <w:rPr>
          <w:rFonts w:ascii="Arial" w:hAnsi="Arial" w:cs="Arial"/>
        </w:rPr>
      </w:pPr>
      <w:r w:rsidRPr="002200EB">
        <w:rPr>
          <w:rFonts w:ascii="Arial" w:hAnsi="Arial" w:cs="Arial"/>
          <w:b/>
        </w:rPr>
        <w:t>Work with the 'whole family'</w:t>
      </w:r>
      <w:r w:rsidRPr="002200EB">
        <w:rPr>
          <w:rFonts w:ascii="Arial" w:hAnsi="Arial" w:cs="Arial"/>
        </w:rPr>
        <w:t xml:space="preserve"> (as is mandated by the national programme)</w:t>
      </w:r>
      <w:r>
        <w:rPr>
          <w:rFonts w:ascii="Arial" w:hAnsi="Arial" w:cs="Arial"/>
        </w:rPr>
        <w:t>, including all children in the family,</w:t>
      </w:r>
      <w:r w:rsidRPr="002200EB">
        <w:rPr>
          <w:rFonts w:ascii="Arial" w:hAnsi="Arial" w:cs="Arial"/>
        </w:rPr>
        <w:t xml:space="preserve"> as 'Lead Professional' and through the CAF/TAF processes to address the issues of unmet need identified and to secure significant and sustained progress for the family on the (two or more) programme criteria </w:t>
      </w:r>
      <w:r w:rsidR="00AC11AA">
        <w:rPr>
          <w:rFonts w:ascii="Arial" w:hAnsi="Arial" w:cs="Arial"/>
        </w:rPr>
        <w:t>identified</w:t>
      </w:r>
    </w:p>
    <w:p w:rsidR="00AC11AA" w:rsidRPr="00AC11AA" w:rsidRDefault="00AC11AA" w:rsidP="00AC11AA">
      <w:pPr>
        <w:pStyle w:val="ListParagraph"/>
        <w:rPr>
          <w:rFonts w:ascii="Arial" w:hAnsi="Arial" w:cs="Arial"/>
        </w:rPr>
      </w:pPr>
    </w:p>
    <w:p w:rsidR="00AC11AA" w:rsidRDefault="002200EB" w:rsidP="00AC11AA">
      <w:pPr>
        <w:pStyle w:val="ListParagraph"/>
        <w:numPr>
          <w:ilvl w:val="0"/>
          <w:numId w:val="3"/>
        </w:numPr>
        <w:ind w:left="-567" w:firstLine="0"/>
        <w:rPr>
          <w:rFonts w:ascii="Arial" w:hAnsi="Arial" w:cs="Arial"/>
        </w:rPr>
      </w:pPr>
      <w:r w:rsidRPr="002200EB">
        <w:rPr>
          <w:rFonts w:ascii="Arial" w:hAnsi="Arial" w:cs="Arial"/>
          <w:b/>
        </w:rPr>
        <w:t>Capture evidence in the accepted (CAF/TAF) recording format</w:t>
      </w:r>
      <w:r>
        <w:rPr>
          <w:rFonts w:ascii="Arial" w:hAnsi="Arial" w:cs="Arial"/>
        </w:rPr>
        <w:t xml:space="preserve"> an</w:t>
      </w:r>
      <w:r w:rsidR="00AC11AA">
        <w:rPr>
          <w:rFonts w:ascii="Arial" w:hAnsi="Arial" w:cs="Arial"/>
        </w:rPr>
        <w:t xml:space="preserve">d make this available to the Children &amp; Family Wellbeing </w:t>
      </w:r>
      <w:r>
        <w:rPr>
          <w:rFonts w:ascii="Arial" w:hAnsi="Arial" w:cs="Arial"/>
        </w:rPr>
        <w:t xml:space="preserve">programme analysts to enable family cases to be appropriately verified and audited within relevant PBR submission claim windows.  It should be noted that </w:t>
      </w:r>
      <w:r w:rsidRPr="002200EB">
        <w:rPr>
          <w:rFonts w:ascii="Arial" w:hAnsi="Arial" w:cs="Arial"/>
          <w:b/>
        </w:rPr>
        <w:t>monitoring of sustainability may go on for up to twelve months</w:t>
      </w:r>
      <w:r>
        <w:rPr>
          <w:rFonts w:ascii="Arial" w:hAnsi="Arial" w:cs="Arial"/>
        </w:rPr>
        <w:t xml:space="preserve"> beyond when CAF/TAFs are closed by the </w:t>
      </w:r>
      <w:r w:rsidR="00AC11AA">
        <w:rPr>
          <w:rFonts w:ascii="Arial" w:hAnsi="Arial" w:cs="Arial"/>
        </w:rPr>
        <w:t>Lead Professional as needs met</w:t>
      </w:r>
      <w:r>
        <w:rPr>
          <w:rFonts w:ascii="Arial" w:hAnsi="Arial" w:cs="Arial"/>
        </w:rPr>
        <w:t xml:space="preserve">.  </w:t>
      </w:r>
      <w:r w:rsidR="00AC11AA">
        <w:rPr>
          <w:rFonts w:ascii="Arial" w:hAnsi="Arial" w:cs="Arial"/>
        </w:rPr>
        <w:t xml:space="preserve">There is a </w:t>
      </w:r>
      <w:r>
        <w:rPr>
          <w:rFonts w:ascii="Arial" w:hAnsi="Arial" w:cs="Arial"/>
        </w:rPr>
        <w:t>need to maintain some contact with the family during this period in order to verify evid</w:t>
      </w:r>
      <w:r w:rsidR="00AC11AA">
        <w:rPr>
          <w:rFonts w:ascii="Arial" w:hAnsi="Arial" w:cs="Arial"/>
        </w:rPr>
        <w:t>ence on behalf of the programme</w:t>
      </w:r>
    </w:p>
    <w:p w:rsidR="00AC11AA" w:rsidRPr="00AC11AA" w:rsidRDefault="00AC11AA" w:rsidP="00AC11AA">
      <w:pPr>
        <w:pStyle w:val="ListParagraph"/>
        <w:rPr>
          <w:rFonts w:ascii="Arial" w:hAnsi="Arial" w:cs="Arial"/>
        </w:rPr>
      </w:pPr>
    </w:p>
    <w:p w:rsidR="00EB49D6" w:rsidRPr="00AC11AA" w:rsidRDefault="00AC11AA" w:rsidP="00AC11AA">
      <w:pPr>
        <w:pStyle w:val="ListParagraph"/>
        <w:ind w:left="-567"/>
        <w:rPr>
          <w:rFonts w:ascii="Arial" w:hAnsi="Arial" w:cs="Arial"/>
        </w:rPr>
      </w:pPr>
      <w:r>
        <w:rPr>
          <w:rFonts w:ascii="Arial" w:hAnsi="Arial" w:cs="Arial"/>
        </w:rPr>
        <w:t>N</w:t>
      </w:r>
      <w:r w:rsidR="00EB49D6" w:rsidRPr="00AC11AA">
        <w:rPr>
          <w:rFonts w:ascii="Arial" w:hAnsi="Arial" w:cs="Arial"/>
        </w:rPr>
        <w:t xml:space="preserve">ursery site leads involved in the pilot </w:t>
      </w:r>
      <w:r>
        <w:rPr>
          <w:rFonts w:ascii="Arial" w:hAnsi="Arial" w:cs="Arial"/>
        </w:rPr>
        <w:t>would be provided with full details regarding</w:t>
      </w:r>
      <w:r w:rsidR="00EB49D6" w:rsidRPr="00AC11AA">
        <w:rPr>
          <w:rFonts w:ascii="Arial" w:hAnsi="Arial" w:cs="Arial"/>
        </w:rPr>
        <w:t xml:space="preserve"> the expectation </w:t>
      </w:r>
      <w:r>
        <w:rPr>
          <w:rFonts w:ascii="Arial" w:hAnsi="Arial" w:cs="Arial"/>
        </w:rPr>
        <w:t>for</w:t>
      </w:r>
      <w:r w:rsidR="00EB49D6" w:rsidRPr="00AC11AA">
        <w:rPr>
          <w:rFonts w:ascii="Arial" w:hAnsi="Arial" w:cs="Arial"/>
        </w:rPr>
        <w:t xml:space="preserve"> data capture and recording</w:t>
      </w:r>
      <w:r w:rsidR="00672BF5" w:rsidRPr="00AC11AA">
        <w:rPr>
          <w:rFonts w:ascii="Arial" w:hAnsi="Arial" w:cs="Arial"/>
        </w:rPr>
        <w:t xml:space="preserve"> and of the families involved</w:t>
      </w:r>
      <w:r w:rsidR="00EB49D6" w:rsidRPr="00AC11AA">
        <w:rPr>
          <w:rFonts w:ascii="Arial" w:hAnsi="Arial" w:cs="Arial"/>
        </w:rPr>
        <w:t>.</w:t>
      </w:r>
    </w:p>
    <w:p w:rsidR="000565E0" w:rsidRPr="00EB49D6" w:rsidRDefault="000565E0" w:rsidP="00386222">
      <w:pPr>
        <w:pStyle w:val="ListParagraph"/>
        <w:ind w:left="-567"/>
        <w:rPr>
          <w:rFonts w:ascii="Arial" w:hAnsi="Arial" w:cs="Arial"/>
        </w:rPr>
      </w:pPr>
    </w:p>
    <w:p w:rsidR="002200EB" w:rsidRPr="000565E0" w:rsidRDefault="002200EB" w:rsidP="00386222">
      <w:pPr>
        <w:pStyle w:val="ListParagraph"/>
        <w:numPr>
          <w:ilvl w:val="0"/>
          <w:numId w:val="10"/>
        </w:numPr>
        <w:ind w:left="-567" w:firstLine="0"/>
        <w:rPr>
          <w:rFonts w:ascii="Arial" w:hAnsi="Arial" w:cs="Arial"/>
          <w:b/>
          <w:sz w:val="28"/>
          <w:szCs w:val="28"/>
        </w:rPr>
      </w:pPr>
      <w:r w:rsidRPr="000565E0">
        <w:rPr>
          <w:rFonts w:ascii="Arial" w:hAnsi="Arial" w:cs="Arial"/>
          <w:b/>
          <w:sz w:val="28"/>
          <w:szCs w:val="28"/>
        </w:rPr>
        <w:t>P</w:t>
      </w:r>
      <w:r w:rsidR="0099769C" w:rsidRPr="000565E0">
        <w:rPr>
          <w:rFonts w:ascii="Arial" w:hAnsi="Arial" w:cs="Arial"/>
          <w:b/>
          <w:sz w:val="28"/>
          <w:szCs w:val="28"/>
        </w:rPr>
        <w:t>roposed payment m</w:t>
      </w:r>
      <w:r w:rsidRPr="000565E0">
        <w:rPr>
          <w:rFonts w:ascii="Arial" w:hAnsi="Arial" w:cs="Arial"/>
          <w:b/>
          <w:sz w:val="28"/>
          <w:szCs w:val="28"/>
        </w:rPr>
        <w:t>echanism</w:t>
      </w:r>
    </w:p>
    <w:p w:rsidR="002200EB" w:rsidRDefault="002200EB" w:rsidP="00386222">
      <w:pPr>
        <w:ind w:left="-567"/>
        <w:rPr>
          <w:rFonts w:ascii="Arial" w:hAnsi="Arial" w:cs="Arial"/>
        </w:rPr>
      </w:pPr>
      <w:r>
        <w:rPr>
          <w:rFonts w:ascii="Arial" w:hAnsi="Arial" w:cs="Arial"/>
        </w:rPr>
        <w:t>For each fam</w:t>
      </w:r>
      <w:r w:rsidR="00AC11AA">
        <w:rPr>
          <w:rFonts w:ascii="Arial" w:hAnsi="Arial" w:cs="Arial"/>
        </w:rPr>
        <w:t>ily 'worked with' by nominated N</w:t>
      </w:r>
      <w:r>
        <w:rPr>
          <w:rFonts w:ascii="Arial" w:hAnsi="Arial" w:cs="Arial"/>
        </w:rPr>
        <w:t>ursery settings;</w:t>
      </w:r>
    </w:p>
    <w:p w:rsidR="00AC11AA" w:rsidRDefault="002200EB" w:rsidP="000E25B6">
      <w:pPr>
        <w:pStyle w:val="ListParagraph"/>
        <w:numPr>
          <w:ilvl w:val="0"/>
          <w:numId w:val="4"/>
        </w:numPr>
        <w:ind w:left="-567" w:firstLine="0"/>
        <w:rPr>
          <w:rFonts w:ascii="Arial" w:hAnsi="Arial" w:cs="Arial"/>
        </w:rPr>
      </w:pPr>
      <w:r w:rsidRPr="00AC11AA">
        <w:rPr>
          <w:rFonts w:ascii="Arial" w:hAnsi="Arial" w:cs="Arial"/>
        </w:rPr>
        <w:t xml:space="preserve">On allocation of an </w:t>
      </w:r>
      <w:r w:rsidR="0099769C" w:rsidRPr="00AC11AA">
        <w:rPr>
          <w:rFonts w:ascii="Arial" w:hAnsi="Arial" w:cs="Arial"/>
        </w:rPr>
        <w:t xml:space="preserve">identified 'TF </w:t>
      </w:r>
      <w:r w:rsidRPr="00AC11AA">
        <w:rPr>
          <w:rFonts w:ascii="Arial" w:hAnsi="Arial" w:cs="Arial"/>
        </w:rPr>
        <w:t>attached</w:t>
      </w:r>
      <w:r w:rsidR="0099769C" w:rsidRPr="00AC11AA">
        <w:rPr>
          <w:rFonts w:ascii="Arial" w:hAnsi="Arial" w:cs="Arial"/>
        </w:rPr>
        <w:t>'</w:t>
      </w:r>
      <w:r w:rsidRPr="00AC11AA">
        <w:rPr>
          <w:rFonts w:ascii="Arial" w:hAnsi="Arial" w:cs="Arial"/>
        </w:rPr>
        <w:t xml:space="preserve"> family</w:t>
      </w:r>
      <w:r w:rsidR="00AC11AA" w:rsidRPr="00AC11AA">
        <w:rPr>
          <w:rFonts w:ascii="Arial" w:hAnsi="Arial" w:cs="Arial"/>
        </w:rPr>
        <w:t xml:space="preserve"> to the N</w:t>
      </w:r>
      <w:r w:rsidR="0099769C" w:rsidRPr="00AC11AA">
        <w:rPr>
          <w:rFonts w:ascii="Arial" w:hAnsi="Arial" w:cs="Arial"/>
        </w:rPr>
        <w:t>ursery setting -</w:t>
      </w:r>
      <w:r w:rsidRPr="00AC11AA">
        <w:rPr>
          <w:rFonts w:ascii="Arial" w:hAnsi="Arial" w:cs="Arial"/>
        </w:rPr>
        <w:t xml:space="preserve"> a fee of £</w:t>
      </w:r>
      <w:r w:rsidR="0099769C" w:rsidRPr="00AC11AA">
        <w:rPr>
          <w:rFonts w:ascii="Arial" w:hAnsi="Arial" w:cs="Arial"/>
        </w:rPr>
        <w:t>600</w:t>
      </w:r>
      <w:r w:rsidRPr="00AC11AA">
        <w:rPr>
          <w:rFonts w:ascii="Arial" w:hAnsi="Arial" w:cs="Arial"/>
        </w:rPr>
        <w:t xml:space="preserve"> </w:t>
      </w:r>
      <w:r w:rsidR="00AC11AA">
        <w:rPr>
          <w:rFonts w:ascii="Arial" w:hAnsi="Arial" w:cs="Arial"/>
        </w:rPr>
        <w:t>would be</w:t>
      </w:r>
      <w:r w:rsidRPr="00AC11AA">
        <w:rPr>
          <w:rFonts w:ascii="Arial" w:hAnsi="Arial" w:cs="Arial"/>
        </w:rPr>
        <w:t xml:space="preserve"> made payable </w:t>
      </w:r>
    </w:p>
    <w:p w:rsidR="00AC11AA" w:rsidRDefault="002200EB" w:rsidP="00EF6025">
      <w:pPr>
        <w:pStyle w:val="ListParagraph"/>
        <w:numPr>
          <w:ilvl w:val="0"/>
          <w:numId w:val="4"/>
        </w:numPr>
        <w:ind w:left="-567" w:firstLine="0"/>
        <w:rPr>
          <w:rFonts w:ascii="Arial" w:hAnsi="Arial" w:cs="Arial"/>
        </w:rPr>
      </w:pPr>
      <w:r w:rsidRPr="00AC11AA">
        <w:rPr>
          <w:rFonts w:ascii="Arial" w:hAnsi="Arial" w:cs="Arial"/>
        </w:rPr>
        <w:t xml:space="preserve">On </w:t>
      </w:r>
      <w:r w:rsidR="0099769C" w:rsidRPr="00AC11AA">
        <w:rPr>
          <w:rFonts w:ascii="Arial" w:hAnsi="Arial" w:cs="Arial"/>
        </w:rPr>
        <w:t xml:space="preserve">submission of a validated PBR claim for a 'TF attached </w:t>
      </w:r>
      <w:r w:rsidR="00AC11AA" w:rsidRPr="00AC11AA">
        <w:rPr>
          <w:rFonts w:ascii="Arial" w:hAnsi="Arial" w:cs="Arial"/>
        </w:rPr>
        <w:t>family worked with by the N</w:t>
      </w:r>
      <w:r w:rsidR="0099769C" w:rsidRPr="00AC11AA">
        <w:rPr>
          <w:rFonts w:ascii="Arial" w:hAnsi="Arial" w:cs="Arial"/>
        </w:rPr>
        <w:t xml:space="preserve">ursery setting as Lead Professional – a fee of £750 </w:t>
      </w:r>
      <w:r w:rsidR="00AC11AA" w:rsidRPr="00AC11AA">
        <w:rPr>
          <w:rFonts w:ascii="Arial" w:hAnsi="Arial" w:cs="Arial"/>
        </w:rPr>
        <w:t>would be</w:t>
      </w:r>
      <w:r w:rsidR="0099769C" w:rsidRPr="00AC11AA">
        <w:rPr>
          <w:rFonts w:ascii="Arial" w:hAnsi="Arial" w:cs="Arial"/>
        </w:rPr>
        <w:t xml:space="preserve"> made payable </w:t>
      </w:r>
    </w:p>
    <w:p w:rsidR="00AC11AA" w:rsidRDefault="00AC11AA" w:rsidP="00AC11AA">
      <w:pPr>
        <w:pStyle w:val="ListParagraph"/>
        <w:ind w:left="-567"/>
        <w:rPr>
          <w:rFonts w:ascii="Arial" w:hAnsi="Arial" w:cs="Arial"/>
        </w:rPr>
      </w:pPr>
    </w:p>
    <w:p w:rsidR="0099769C" w:rsidRPr="00AC11AA" w:rsidRDefault="00AC11AA" w:rsidP="00AC11AA">
      <w:pPr>
        <w:pStyle w:val="ListParagraph"/>
        <w:ind w:left="-567"/>
        <w:rPr>
          <w:rFonts w:ascii="Arial" w:hAnsi="Arial" w:cs="Arial"/>
        </w:rPr>
      </w:pPr>
      <w:r>
        <w:rPr>
          <w:rFonts w:ascii="Arial" w:hAnsi="Arial" w:cs="Arial"/>
        </w:rPr>
        <w:t>This equates to a</w:t>
      </w:r>
      <w:r w:rsidR="0099769C" w:rsidRPr="00AC11AA">
        <w:rPr>
          <w:rFonts w:ascii="Arial" w:hAnsi="Arial" w:cs="Arial"/>
        </w:rPr>
        <w:t xml:space="preserve"> </w:t>
      </w:r>
      <w:r>
        <w:rPr>
          <w:rFonts w:ascii="Arial" w:hAnsi="Arial" w:cs="Arial"/>
        </w:rPr>
        <w:t xml:space="preserve">maximum </w:t>
      </w:r>
      <w:r w:rsidR="0099769C" w:rsidRPr="00AC11AA">
        <w:rPr>
          <w:rFonts w:ascii="Arial" w:hAnsi="Arial" w:cs="Arial"/>
        </w:rPr>
        <w:t xml:space="preserve">total of </w:t>
      </w:r>
      <w:r w:rsidR="0099769C" w:rsidRPr="00AC11AA">
        <w:rPr>
          <w:rFonts w:ascii="Arial" w:hAnsi="Arial" w:cs="Arial"/>
          <w:b/>
        </w:rPr>
        <w:t>£1350 per identified family</w:t>
      </w:r>
      <w:r w:rsidR="0099769C" w:rsidRPr="00AC11AA">
        <w:rPr>
          <w:rFonts w:ascii="Arial" w:hAnsi="Arial" w:cs="Arial"/>
        </w:rPr>
        <w:t xml:space="preserve"> made payable to nominated </w:t>
      </w:r>
      <w:r>
        <w:rPr>
          <w:rFonts w:ascii="Arial" w:hAnsi="Arial" w:cs="Arial"/>
        </w:rPr>
        <w:t>N</w:t>
      </w:r>
      <w:r w:rsidR="0099769C" w:rsidRPr="00AC11AA">
        <w:rPr>
          <w:rFonts w:ascii="Arial" w:hAnsi="Arial" w:cs="Arial"/>
        </w:rPr>
        <w:t>ursery settings involved in the pilot.</w:t>
      </w:r>
    </w:p>
    <w:p w:rsidR="00405D1C" w:rsidRDefault="0099769C" w:rsidP="00386222">
      <w:pPr>
        <w:ind w:left="-567"/>
        <w:rPr>
          <w:rFonts w:ascii="Arial" w:hAnsi="Arial" w:cs="Arial"/>
        </w:rPr>
      </w:pPr>
      <w:r>
        <w:rPr>
          <w:rFonts w:ascii="Arial" w:hAnsi="Arial" w:cs="Arial"/>
        </w:rPr>
        <w:t xml:space="preserve">The authority will retain 25% of the total fee payable </w:t>
      </w:r>
      <w:r w:rsidR="00AC11AA">
        <w:rPr>
          <w:rFonts w:ascii="Arial" w:hAnsi="Arial" w:cs="Arial"/>
        </w:rPr>
        <w:t>from</w:t>
      </w:r>
      <w:r>
        <w:rPr>
          <w:rFonts w:ascii="Arial" w:hAnsi="Arial" w:cs="Arial"/>
        </w:rPr>
        <w:t xml:space="preserve"> the national </w:t>
      </w:r>
      <w:r w:rsidR="00AC11AA">
        <w:rPr>
          <w:rFonts w:ascii="Arial" w:hAnsi="Arial" w:cs="Arial"/>
        </w:rPr>
        <w:t>Troubled Families P</w:t>
      </w:r>
      <w:r>
        <w:rPr>
          <w:rFonts w:ascii="Arial" w:hAnsi="Arial" w:cs="Arial"/>
        </w:rPr>
        <w:t>rogramme</w:t>
      </w:r>
      <w:r w:rsidR="00405D1C">
        <w:rPr>
          <w:rFonts w:ascii="Arial" w:hAnsi="Arial" w:cs="Arial"/>
        </w:rPr>
        <w:t xml:space="preserve">, as </w:t>
      </w:r>
      <w:r>
        <w:rPr>
          <w:rFonts w:ascii="Arial" w:hAnsi="Arial" w:cs="Arial"/>
        </w:rPr>
        <w:t xml:space="preserve"> the </w:t>
      </w:r>
      <w:r w:rsidR="00405D1C">
        <w:rPr>
          <w:rFonts w:ascii="Arial" w:hAnsi="Arial" w:cs="Arial"/>
        </w:rPr>
        <w:t>Children &amp; Family Wellbeing service</w:t>
      </w:r>
      <w:r>
        <w:rPr>
          <w:rFonts w:ascii="Arial" w:hAnsi="Arial" w:cs="Arial"/>
        </w:rPr>
        <w:t xml:space="preserve"> analyst team will continue to conduct all necessary data matching, analysis, monitoring, </w:t>
      </w:r>
      <w:r w:rsidR="00201A0D">
        <w:rPr>
          <w:rFonts w:ascii="Arial" w:hAnsi="Arial" w:cs="Arial"/>
        </w:rPr>
        <w:t>and audit</w:t>
      </w:r>
      <w:r>
        <w:rPr>
          <w:rFonts w:ascii="Arial" w:hAnsi="Arial" w:cs="Arial"/>
        </w:rPr>
        <w:t xml:space="preserve"> preperation and claims submissions for each case.</w:t>
      </w:r>
    </w:p>
    <w:p w:rsidR="00405D1C" w:rsidRDefault="00405D1C">
      <w:pPr>
        <w:rPr>
          <w:rFonts w:ascii="Arial" w:hAnsi="Arial" w:cs="Arial"/>
        </w:rPr>
      </w:pPr>
      <w:r>
        <w:rPr>
          <w:rFonts w:ascii="Arial" w:hAnsi="Arial" w:cs="Arial"/>
        </w:rPr>
        <w:br w:type="page"/>
      </w:r>
    </w:p>
    <w:p w:rsidR="0099769C" w:rsidRDefault="0099769C" w:rsidP="00386222">
      <w:pPr>
        <w:ind w:left="-567"/>
        <w:rPr>
          <w:rFonts w:ascii="Arial" w:hAnsi="Arial" w:cs="Arial"/>
        </w:rPr>
      </w:pPr>
    </w:p>
    <w:p w:rsidR="0099769C" w:rsidRPr="000565E0" w:rsidRDefault="0099769C" w:rsidP="00386222">
      <w:pPr>
        <w:pStyle w:val="ListParagraph"/>
        <w:numPr>
          <w:ilvl w:val="0"/>
          <w:numId w:val="10"/>
        </w:numPr>
        <w:ind w:left="-567" w:firstLine="0"/>
        <w:rPr>
          <w:rFonts w:ascii="Arial" w:hAnsi="Arial" w:cs="Arial"/>
          <w:b/>
          <w:sz w:val="28"/>
          <w:szCs w:val="28"/>
        </w:rPr>
      </w:pPr>
      <w:r w:rsidRPr="000565E0">
        <w:rPr>
          <w:rFonts w:ascii="Arial" w:hAnsi="Arial" w:cs="Arial"/>
          <w:b/>
          <w:sz w:val="28"/>
          <w:szCs w:val="28"/>
        </w:rPr>
        <w:t>Data Evidence</w:t>
      </w:r>
    </w:p>
    <w:p w:rsidR="0099769C" w:rsidRDefault="0099769C" w:rsidP="00386222">
      <w:pPr>
        <w:ind w:left="-567"/>
        <w:rPr>
          <w:rFonts w:ascii="Arial" w:hAnsi="Arial" w:cs="Arial"/>
        </w:rPr>
      </w:pPr>
      <w:r>
        <w:rPr>
          <w:rFonts w:ascii="Arial" w:hAnsi="Arial" w:cs="Arial"/>
        </w:rPr>
        <w:t>There are over 10,000 families currently attached to the TF programme which exceeds the Lancashire target for attachments. For these families, we have evidence which is being monitored that the families meet two or more of the programmes criteria.</w:t>
      </w:r>
    </w:p>
    <w:p w:rsidR="00405D1C" w:rsidRDefault="0099769C" w:rsidP="00386222">
      <w:pPr>
        <w:ind w:left="-567"/>
        <w:rPr>
          <w:rFonts w:ascii="Arial" w:hAnsi="Arial" w:cs="Arial"/>
        </w:rPr>
      </w:pPr>
      <w:r>
        <w:rPr>
          <w:rFonts w:ascii="Arial" w:hAnsi="Arial" w:cs="Arial"/>
        </w:rPr>
        <w:t>We have identified from within all attached families, t</w:t>
      </w:r>
      <w:r w:rsidRPr="0099769C">
        <w:rPr>
          <w:rFonts w:ascii="Arial" w:hAnsi="Arial" w:cs="Arial"/>
        </w:rPr>
        <w:t>hose which reside within the catchment area</w:t>
      </w:r>
      <w:r w:rsidR="00CB4BA2">
        <w:rPr>
          <w:rFonts w:ascii="Arial" w:hAnsi="Arial" w:cs="Arial"/>
        </w:rPr>
        <w:t>s</w:t>
      </w:r>
      <w:r w:rsidRPr="0099769C">
        <w:rPr>
          <w:rFonts w:ascii="Arial" w:hAnsi="Arial" w:cs="Arial"/>
        </w:rPr>
        <w:t xml:space="preserve"> of a group of </w:t>
      </w:r>
      <w:r w:rsidR="00191404">
        <w:rPr>
          <w:rFonts w:ascii="Arial" w:hAnsi="Arial" w:cs="Arial"/>
        </w:rPr>
        <w:t>seven</w:t>
      </w:r>
      <w:r w:rsidR="00CB4BA2">
        <w:rPr>
          <w:rFonts w:ascii="Arial" w:hAnsi="Arial" w:cs="Arial"/>
        </w:rPr>
        <w:t xml:space="preserve"> </w:t>
      </w:r>
      <w:r w:rsidR="00405D1C">
        <w:rPr>
          <w:rFonts w:ascii="Arial" w:hAnsi="Arial" w:cs="Arial"/>
        </w:rPr>
        <w:t>nominated N</w:t>
      </w:r>
      <w:r w:rsidRPr="0099769C">
        <w:rPr>
          <w:rFonts w:ascii="Arial" w:hAnsi="Arial" w:cs="Arial"/>
        </w:rPr>
        <w:t>urseries and who have at least one child in the family 0-5yrs</w:t>
      </w:r>
      <w:r w:rsidR="00405D1C">
        <w:rPr>
          <w:rFonts w:ascii="Arial" w:hAnsi="Arial" w:cs="Arial"/>
        </w:rPr>
        <w:t>.</w:t>
      </w:r>
    </w:p>
    <w:p w:rsidR="00405D1C" w:rsidRDefault="0099769C" w:rsidP="00386222">
      <w:pPr>
        <w:ind w:left="-567"/>
        <w:rPr>
          <w:rFonts w:ascii="Arial" w:hAnsi="Arial" w:cs="Arial"/>
        </w:rPr>
      </w:pPr>
      <w:r>
        <w:rPr>
          <w:rFonts w:ascii="Arial" w:hAnsi="Arial" w:cs="Arial"/>
        </w:rPr>
        <w:t xml:space="preserve">We have then identified those who are not currently or have not been worked with by CFW or Children Social Care as Lead Professional.  </w:t>
      </w:r>
    </w:p>
    <w:p w:rsidR="00CB4BA2" w:rsidRDefault="0099769C" w:rsidP="00386222">
      <w:pPr>
        <w:ind w:left="-567"/>
        <w:rPr>
          <w:rFonts w:ascii="Arial" w:hAnsi="Arial" w:cs="Arial"/>
        </w:rPr>
      </w:pPr>
      <w:r>
        <w:rPr>
          <w:rFonts w:ascii="Arial" w:hAnsi="Arial" w:cs="Arial"/>
        </w:rPr>
        <w:t>We have then cross referenced this cohort of families with Early Years Data to identify those that are claiming their eligibility to 2yr and 3yr old free early education</w:t>
      </w:r>
      <w:r w:rsidR="00201A0D">
        <w:rPr>
          <w:rFonts w:ascii="Arial" w:hAnsi="Arial" w:cs="Arial"/>
        </w:rPr>
        <w:t xml:space="preserve"> and where they are currently accessing provision</w:t>
      </w:r>
      <w:r>
        <w:rPr>
          <w:rFonts w:ascii="Arial" w:hAnsi="Arial" w:cs="Arial"/>
        </w:rPr>
        <w:t>.</w:t>
      </w:r>
    </w:p>
    <w:p w:rsidR="00201A0D" w:rsidRDefault="00CB4BA2" w:rsidP="008A095B">
      <w:pPr>
        <w:spacing w:after="0"/>
        <w:ind w:left="-567"/>
        <w:rPr>
          <w:rFonts w:ascii="Arial" w:hAnsi="Arial" w:cs="Arial"/>
        </w:rPr>
      </w:pPr>
      <w:r>
        <w:rPr>
          <w:rFonts w:ascii="Arial" w:hAnsi="Arial" w:cs="Arial"/>
        </w:rPr>
        <w:t>The outcome of this analysis yields a possible cohort of</w:t>
      </w:r>
      <w:r w:rsidR="00201A0D">
        <w:rPr>
          <w:rFonts w:ascii="Arial" w:hAnsi="Arial" w:cs="Arial"/>
        </w:rPr>
        <w:t>;</w:t>
      </w:r>
      <w:r>
        <w:rPr>
          <w:rFonts w:ascii="Arial" w:hAnsi="Arial" w:cs="Arial"/>
        </w:rPr>
        <w:t xml:space="preserve"> </w:t>
      </w:r>
    </w:p>
    <w:p w:rsidR="00405D1C" w:rsidRDefault="00201A0D" w:rsidP="00405D1C">
      <w:pPr>
        <w:pStyle w:val="ListParagraph"/>
        <w:numPr>
          <w:ilvl w:val="0"/>
          <w:numId w:val="11"/>
        </w:numPr>
        <w:rPr>
          <w:rFonts w:ascii="Arial" w:hAnsi="Arial" w:cs="Arial"/>
        </w:rPr>
      </w:pPr>
      <w:r w:rsidRPr="008A095B">
        <w:rPr>
          <w:rFonts w:ascii="Arial" w:hAnsi="Arial" w:cs="Arial"/>
          <w:b/>
        </w:rPr>
        <w:t>225</w:t>
      </w:r>
      <w:r w:rsidR="00CB4BA2" w:rsidRPr="008A095B">
        <w:rPr>
          <w:rFonts w:ascii="Arial" w:hAnsi="Arial" w:cs="Arial"/>
          <w:b/>
        </w:rPr>
        <w:t xml:space="preserve"> attached families</w:t>
      </w:r>
      <w:r w:rsidR="00CB4BA2" w:rsidRPr="00201A0D">
        <w:rPr>
          <w:rFonts w:ascii="Arial" w:hAnsi="Arial" w:cs="Arial"/>
        </w:rPr>
        <w:t xml:space="preserve"> for consideration</w:t>
      </w:r>
      <w:r w:rsidRPr="00201A0D">
        <w:rPr>
          <w:rFonts w:ascii="Arial" w:hAnsi="Arial" w:cs="Arial"/>
        </w:rPr>
        <w:t xml:space="preserve"> which comprise 507 children (of all ages)</w:t>
      </w:r>
      <w:r w:rsidR="00CB4BA2" w:rsidRPr="00201A0D">
        <w:rPr>
          <w:rFonts w:ascii="Arial" w:hAnsi="Arial" w:cs="Arial"/>
        </w:rPr>
        <w:t xml:space="preserve">.  </w:t>
      </w:r>
      <w:r>
        <w:rPr>
          <w:rFonts w:ascii="Arial" w:hAnsi="Arial" w:cs="Arial"/>
        </w:rPr>
        <w:t>Based on those families at</w:t>
      </w:r>
      <w:r w:rsidR="00405D1C">
        <w:rPr>
          <w:rFonts w:ascii="Arial" w:hAnsi="Arial" w:cs="Arial"/>
        </w:rPr>
        <w:t>tached to the programme in the N</w:t>
      </w:r>
      <w:r>
        <w:rPr>
          <w:rFonts w:ascii="Arial" w:hAnsi="Arial" w:cs="Arial"/>
        </w:rPr>
        <w:t>ursery reach areas who have at least one child under 5yrs.</w:t>
      </w:r>
      <w:r w:rsidR="008A095B">
        <w:rPr>
          <w:rFonts w:ascii="Arial" w:hAnsi="Arial" w:cs="Arial"/>
        </w:rPr>
        <w:t xml:space="preserve">  </w:t>
      </w:r>
    </w:p>
    <w:p w:rsidR="00201A0D" w:rsidRPr="00405D1C" w:rsidRDefault="00201A0D" w:rsidP="00405D1C">
      <w:pPr>
        <w:ind w:left="-207"/>
        <w:rPr>
          <w:rFonts w:ascii="Arial" w:hAnsi="Arial" w:cs="Arial"/>
        </w:rPr>
      </w:pPr>
      <w:r w:rsidRPr="00405D1C">
        <w:rPr>
          <w:rFonts w:ascii="Arial" w:hAnsi="Arial" w:cs="Arial"/>
        </w:rPr>
        <w:t>Or</w:t>
      </w:r>
      <w:r w:rsidR="00405D1C">
        <w:rPr>
          <w:rFonts w:ascii="Arial" w:hAnsi="Arial" w:cs="Arial"/>
        </w:rPr>
        <w:t>:</w:t>
      </w:r>
    </w:p>
    <w:p w:rsidR="008A095B" w:rsidRDefault="008A095B" w:rsidP="008A095B">
      <w:pPr>
        <w:pStyle w:val="ListParagraph"/>
        <w:numPr>
          <w:ilvl w:val="0"/>
          <w:numId w:val="11"/>
        </w:numPr>
        <w:rPr>
          <w:rFonts w:ascii="Arial" w:hAnsi="Arial" w:cs="Arial"/>
        </w:rPr>
      </w:pPr>
      <w:r w:rsidRPr="008A095B">
        <w:rPr>
          <w:rFonts w:ascii="Arial" w:hAnsi="Arial" w:cs="Arial"/>
          <w:b/>
        </w:rPr>
        <w:t>72 attached families</w:t>
      </w:r>
      <w:r>
        <w:rPr>
          <w:rFonts w:ascii="Arial" w:hAnsi="Arial" w:cs="Arial"/>
        </w:rPr>
        <w:t xml:space="preserve"> comprising 188 children (of all ages). Based on those families at</w:t>
      </w:r>
      <w:r w:rsidR="00405D1C">
        <w:rPr>
          <w:rFonts w:ascii="Arial" w:hAnsi="Arial" w:cs="Arial"/>
        </w:rPr>
        <w:t>tached to the programme in the N</w:t>
      </w:r>
      <w:r>
        <w:rPr>
          <w:rFonts w:ascii="Arial" w:hAnsi="Arial" w:cs="Arial"/>
        </w:rPr>
        <w:t xml:space="preserve">ursery reach areas who have at least one child under 5yrs for whom FEE entitlement is being claimed.  </w:t>
      </w:r>
    </w:p>
    <w:p w:rsidR="008A095B" w:rsidRPr="008A095B" w:rsidRDefault="008A095B" w:rsidP="008A095B">
      <w:pPr>
        <w:pStyle w:val="ListParagraph"/>
        <w:ind w:left="153"/>
        <w:rPr>
          <w:rFonts w:ascii="Arial" w:hAnsi="Arial" w:cs="Arial"/>
        </w:rPr>
      </w:pPr>
      <w:r>
        <w:rPr>
          <w:rFonts w:ascii="Arial" w:hAnsi="Arial" w:cs="Arial"/>
        </w:rPr>
        <w:t xml:space="preserve">(This could also reduce to </w:t>
      </w:r>
      <w:r w:rsidRPr="008A095B">
        <w:rPr>
          <w:rFonts w:ascii="Arial" w:hAnsi="Arial" w:cs="Arial"/>
          <w:b/>
        </w:rPr>
        <w:t>28 attached families</w:t>
      </w:r>
      <w:r>
        <w:rPr>
          <w:rFonts w:ascii="Arial" w:hAnsi="Arial" w:cs="Arial"/>
        </w:rPr>
        <w:t xml:space="preserve"> where at least one of the children is currently attending the nursery(s).</w:t>
      </w:r>
    </w:p>
    <w:p w:rsidR="00201A0D" w:rsidRDefault="00CB4BA2" w:rsidP="00074FA5">
      <w:pPr>
        <w:ind w:left="-567"/>
        <w:rPr>
          <w:rFonts w:ascii="Arial" w:hAnsi="Arial" w:cs="Arial"/>
        </w:rPr>
      </w:pPr>
      <w:r>
        <w:rPr>
          <w:rFonts w:ascii="Arial" w:hAnsi="Arial" w:cs="Arial"/>
        </w:rPr>
        <w:t>The breakdown of the nominated cohort is as follows;</w:t>
      </w:r>
    </w:p>
    <w:tbl>
      <w:tblPr>
        <w:tblW w:w="5509" w:type="pct"/>
        <w:tblInd w:w="-993" w:type="dxa"/>
        <w:tblCellMar>
          <w:left w:w="0" w:type="dxa"/>
          <w:right w:w="0" w:type="dxa"/>
        </w:tblCellMar>
        <w:tblLook w:val="04A0" w:firstRow="1" w:lastRow="0" w:firstColumn="1" w:lastColumn="0" w:noHBand="0" w:noVBand="1"/>
      </w:tblPr>
      <w:tblGrid>
        <w:gridCol w:w="1518"/>
        <w:gridCol w:w="1072"/>
        <w:gridCol w:w="1295"/>
        <w:gridCol w:w="1150"/>
        <w:gridCol w:w="994"/>
        <w:gridCol w:w="1283"/>
        <w:gridCol w:w="1184"/>
        <w:gridCol w:w="1184"/>
        <w:gridCol w:w="1072"/>
      </w:tblGrid>
      <w:tr w:rsidR="00201A0D" w:rsidTr="00201A0D">
        <w:trPr>
          <w:trHeight w:val="510"/>
        </w:trPr>
        <w:tc>
          <w:tcPr>
            <w:tcW w:w="1047"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NURSERY</w:t>
            </w:r>
          </w:p>
        </w:tc>
        <w:tc>
          <w:tcPr>
            <w:tcW w:w="459"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Row A</w:t>
            </w:r>
          </w:p>
        </w:tc>
        <w:tc>
          <w:tcPr>
            <w:tcW w:w="553"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Row B</w:t>
            </w:r>
          </w:p>
        </w:tc>
        <w:tc>
          <w:tcPr>
            <w:tcW w:w="492"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Row C</w:t>
            </w:r>
          </w:p>
        </w:tc>
        <w:tc>
          <w:tcPr>
            <w:tcW w:w="427"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 </w:t>
            </w:r>
          </w:p>
        </w:tc>
        <w:tc>
          <w:tcPr>
            <w:tcW w:w="548"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Row D</w:t>
            </w:r>
          </w:p>
        </w:tc>
        <w:tc>
          <w:tcPr>
            <w:tcW w:w="506"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 </w:t>
            </w:r>
          </w:p>
        </w:tc>
        <w:tc>
          <w:tcPr>
            <w:tcW w:w="506"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 </w:t>
            </w:r>
          </w:p>
        </w:tc>
        <w:tc>
          <w:tcPr>
            <w:tcW w:w="459" w:type="pct"/>
            <w:shd w:val="clear" w:color="auto" w:fill="DDEBF7"/>
            <w:tcMar>
              <w:top w:w="0" w:type="dxa"/>
              <w:left w:w="108" w:type="dxa"/>
              <w:bottom w:w="0" w:type="dxa"/>
              <w:right w:w="108" w:type="dxa"/>
            </w:tcMar>
            <w:vAlign w:val="center"/>
            <w:hideMark/>
          </w:tcPr>
          <w:p w:rsidR="00201A0D" w:rsidRDefault="00201A0D">
            <w:pPr>
              <w:jc w:val="center"/>
              <w:rPr>
                <w:rFonts w:ascii="Arial" w:hAnsi="Arial" w:cs="Arial"/>
                <w:b/>
                <w:bCs/>
                <w:color w:val="000000"/>
                <w:sz w:val="20"/>
                <w:szCs w:val="20"/>
              </w:rPr>
            </w:pPr>
            <w:r>
              <w:rPr>
                <w:rFonts w:ascii="Arial" w:hAnsi="Arial" w:cs="Arial"/>
                <w:b/>
                <w:bCs/>
                <w:color w:val="000000"/>
                <w:sz w:val="20"/>
                <w:szCs w:val="20"/>
              </w:rPr>
              <w:t>Row E</w:t>
            </w:r>
          </w:p>
        </w:tc>
      </w:tr>
      <w:tr w:rsidR="00201A0D" w:rsidTr="00201A0D">
        <w:trPr>
          <w:trHeight w:val="3060"/>
        </w:trPr>
        <w:tc>
          <w:tcPr>
            <w:tcW w:w="1047"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(NB: Reach Area based on former Children Centre reach parameters)</w:t>
            </w:r>
          </w:p>
        </w:tc>
        <w:tc>
          <w:tcPr>
            <w:tcW w:w="459"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Number of TFU Attached Families (with U5yrs) in Nursery Reach Area</w:t>
            </w:r>
          </w:p>
        </w:tc>
        <w:tc>
          <w:tcPr>
            <w:tcW w:w="553"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Percentage of TFU Attached Families (with U5yrs) in  Nursery Reach Area being worked with by CFW/CSC</w:t>
            </w:r>
          </w:p>
        </w:tc>
        <w:tc>
          <w:tcPr>
            <w:tcW w:w="492"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Number of TFU Attached Families (with U5yrs) in Nursery Reach Area not allocated to CFW/CSC</w:t>
            </w:r>
          </w:p>
        </w:tc>
        <w:tc>
          <w:tcPr>
            <w:tcW w:w="427"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 xml:space="preserve">Total number of children in Row C </w:t>
            </w:r>
          </w:p>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(0-18s)</w:t>
            </w:r>
          </w:p>
        </w:tc>
        <w:tc>
          <w:tcPr>
            <w:tcW w:w="548"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 xml:space="preserve">Number of TFU Attached Families in Nursery Reach Area claiming FEE entitlement for a child or children </w:t>
            </w:r>
            <w:r>
              <w:rPr>
                <w:rFonts w:ascii="Arial" w:hAnsi="Arial" w:cs="Arial"/>
                <w:b/>
                <w:bCs/>
                <w:color w:val="1F497D"/>
                <w:sz w:val="20"/>
                <w:szCs w:val="20"/>
              </w:rPr>
              <w:t xml:space="preserve">aged 2,3,4 </w:t>
            </w:r>
            <w:r>
              <w:rPr>
                <w:rFonts w:ascii="Arial" w:hAnsi="Arial" w:cs="Arial"/>
                <w:b/>
                <w:bCs/>
                <w:color w:val="000000"/>
                <w:sz w:val="20"/>
                <w:szCs w:val="20"/>
              </w:rPr>
              <w:t>(not CFW/CSC attached)</w:t>
            </w:r>
          </w:p>
        </w:tc>
        <w:tc>
          <w:tcPr>
            <w:tcW w:w="506"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Number of Row D families accessing this Nursery</w:t>
            </w:r>
          </w:p>
        </w:tc>
        <w:tc>
          <w:tcPr>
            <w:tcW w:w="506"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Number of Row D families accessing other provision</w:t>
            </w:r>
          </w:p>
        </w:tc>
        <w:tc>
          <w:tcPr>
            <w:tcW w:w="459" w:type="pct"/>
            <w:shd w:val="clear" w:color="auto" w:fill="DDEBF7"/>
            <w:tcMar>
              <w:top w:w="0" w:type="dxa"/>
              <w:left w:w="108" w:type="dxa"/>
              <w:bottom w:w="0" w:type="dxa"/>
              <w:right w:w="108" w:type="dxa"/>
            </w:tcMar>
            <w:hideMark/>
          </w:tcPr>
          <w:p w:rsidR="00201A0D" w:rsidRDefault="00201A0D" w:rsidP="00201A0D">
            <w:pPr>
              <w:jc w:val="center"/>
              <w:rPr>
                <w:rFonts w:ascii="Arial" w:hAnsi="Arial" w:cs="Arial"/>
                <w:b/>
                <w:bCs/>
                <w:color w:val="000000"/>
                <w:sz w:val="20"/>
                <w:szCs w:val="20"/>
              </w:rPr>
            </w:pPr>
            <w:r>
              <w:rPr>
                <w:rFonts w:ascii="Arial" w:hAnsi="Arial" w:cs="Arial"/>
                <w:b/>
                <w:bCs/>
                <w:color w:val="000000"/>
                <w:sz w:val="20"/>
                <w:szCs w:val="20"/>
              </w:rPr>
              <w:t>Total number of children in TFU Attached families in target cohort (Row D) (0-18s)</w:t>
            </w:r>
          </w:p>
        </w:tc>
      </w:tr>
      <w:tr w:rsidR="00201A0D" w:rsidTr="00201A0D">
        <w:trPr>
          <w:trHeight w:val="300"/>
        </w:trPr>
        <w:tc>
          <w:tcPr>
            <w:tcW w:w="1047" w:type="pct"/>
            <w:noWrap/>
            <w:tcMar>
              <w:top w:w="0" w:type="dxa"/>
              <w:left w:w="108" w:type="dxa"/>
              <w:bottom w:w="0" w:type="dxa"/>
              <w:right w:w="108" w:type="dxa"/>
            </w:tcMar>
            <w:vAlign w:val="center"/>
            <w:hideMark/>
          </w:tcPr>
          <w:p w:rsidR="00201A0D" w:rsidRDefault="00201A0D">
            <w:pPr>
              <w:rPr>
                <w:rFonts w:ascii="Calibri" w:hAnsi="Calibri" w:cs="Times New Roman"/>
                <w:b/>
                <w:bCs/>
                <w:color w:val="000000"/>
              </w:rPr>
            </w:pPr>
            <w:r>
              <w:rPr>
                <w:b/>
                <w:bCs/>
                <w:color w:val="000000"/>
              </w:rPr>
              <w:t>Appletree</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78</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69%</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24</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47</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5</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4</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1</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13</w:t>
            </w:r>
          </w:p>
        </w:tc>
      </w:tr>
      <w:tr w:rsidR="00201A0D" w:rsidTr="00201A0D">
        <w:trPr>
          <w:trHeight w:val="300"/>
        </w:trPr>
        <w:tc>
          <w:tcPr>
            <w:tcW w:w="1047" w:type="pct"/>
            <w:noWrap/>
            <w:tcMar>
              <w:top w:w="0" w:type="dxa"/>
              <w:left w:w="108" w:type="dxa"/>
              <w:bottom w:w="0" w:type="dxa"/>
              <w:right w:w="108" w:type="dxa"/>
            </w:tcMar>
            <w:vAlign w:val="center"/>
            <w:hideMark/>
          </w:tcPr>
          <w:p w:rsidR="00201A0D" w:rsidRDefault="00201A0D">
            <w:pPr>
              <w:rPr>
                <w:b/>
                <w:bCs/>
                <w:color w:val="000000"/>
              </w:rPr>
            </w:pPr>
            <w:r>
              <w:rPr>
                <w:b/>
                <w:bCs/>
                <w:color w:val="000000"/>
              </w:rPr>
              <w:t>Duke Street</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179</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74%</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47</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107</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21</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7</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14</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57</w:t>
            </w:r>
          </w:p>
        </w:tc>
      </w:tr>
      <w:tr w:rsidR="00201A0D" w:rsidTr="00201A0D">
        <w:trPr>
          <w:trHeight w:val="300"/>
        </w:trPr>
        <w:tc>
          <w:tcPr>
            <w:tcW w:w="1047" w:type="pct"/>
            <w:noWrap/>
            <w:tcMar>
              <w:top w:w="0" w:type="dxa"/>
              <w:left w:w="108" w:type="dxa"/>
              <w:bottom w:w="0" w:type="dxa"/>
              <w:right w:w="108" w:type="dxa"/>
            </w:tcMar>
            <w:vAlign w:val="center"/>
            <w:hideMark/>
          </w:tcPr>
          <w:p w:rsidR="00201A0D" w:rsidRDefault="00201A0D">
            <w:pPr>
              <w:rPr>
                <w:b/>
                <w:bCs/>
                <w:color w:val="000000"/>
              </w:rPr>
            </w:pPr>
            <w:r>
              <w:rPr>
                <w:b/>
                <w:bCs/>
                <w:color w:val="000000"/>
              </w:rPr>
              <w:t>Fairfield</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106</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66%</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36</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77</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8</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3</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5</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16</w:t>
            </w:r>
          </w:p>
        </w:tc>
      </w:tr>
      <w:tr w:rsidR="00201A0D" w:rsidTr="00201A0D">
        <w:trPr>
          <w:trHeight w:val="300"/>
        </w:trPr>
        <w:tc>
          <w:tcPr>
            <w:tcW w:w="1047" w:type="pct"/>
            <w:noWrap/>
            <w:tcMar>
              <w:top w:w="0" w:type="dxa"/>
              <w:left w:w="108" w:type="dxa"/>
              <w:bottom w:w="0" w:type="dxa"/>
              <w:right w:w="108" w:type="dxa"/>
            </w:tcMar>
            <w:vAlign w:val="center"/>
            <w:hideMark/>
          </w:tcPr>
          <w:p w:rsidR="00201A0D" w:rsidRDefault="00201A0D">
            <w:pPr>
              <w:rPr>
                <w:b/>
                <w:bCs/>
                <w:color w:val="000000"/>
              </w:rPr>
            </w:pPr>
            <w:r>
              <w:rPr>
                <w:b/>
                <w:bCs/>
                <w:color w:val="000000"/>
              </w:rPr>
              <w:t>Ribblesdale</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69</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72%</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19</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40</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11</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2</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9</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27</w:t>
            </w:r>
          </w:p>
        </w:tc>
      </w:tr>
      <w:tr w:rsidR="00201A0D" w:rsidTr="00201A0D">
        <w:trPr>
          <w:trHeight w:val="300"/>
        </w:trPr>
        <w:tc>
          <w:tcPr>
            <w:tcW w:w="1047" w:type="pct"/>
            <w:noWrap/>
            <w:tcMar>
              <w:top w:w="0" w:type="dxa"/>
              <w:left w:w="108" w:type="dxa"/>
              <w:bottom w:w="0" w:type="dxa"/>
              <w:right w:w="108" w:type="dxa"/>
            </w:tcMar>
            <w:vAlign w:val="center"/>
            <w:hideMark/>
          </w:tcPr>
          <w:p w:rsidR="00201A0D" w:rsidRDefault="00201A0D">
            <w:pPr>
              <w:rPr>
                <w:b/>
                <w:bCs/>
                <w:color w:val="000000"/>
              </w:rPr>
            </w:pPr>
            <w:r>
              <w:rPr>
                <w:b/>
                <w:bCs/>
                <w:color w:val="000000"/>
              </w:rPr>
              <w:t>Stoneygate</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145</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66%</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49</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113</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18</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8</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10</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44</w:t>
            </w:r>
          </w:p>
        </w:tc>
      </w:tr>
      <w:tr w:rsidR="00201A0D" w:rsidTr="00201A0D">
        <w:trPr>
          <w:trHeight w:val="300"/>
        </w:trPr>
        <w:tc>
          <w:tcPr>
            <w:tcW w:w="1047" w:type="pct"/>
            <w:noWrap/>
            <w:tcMar>
              <w:top w:w="0" w:type="dxa"/>
              <w:left w:w="108" w:type="dxa"/>
              <w:bottom w:w="0" w:type="dxa"/>
              <w:right w:w="108" w:type="dxa"/>
            </w:tcMar>
            <w:vAlign w:val="center"/>
            <w:hideMark/>
          </w:tcPr>
          <w:p w:rsidR="00201A0D" w:rsidRDefault="00201A0D">
            <w:pPr>
              <w:rPr>
                <w:b/>
                <w:bCs/>
                <w:color w:val="000000"/>
              </w:rPr>
            </w:pPr>
            <w:r>
              <w:rPr>
                <w:b/>
                <w:bCs/>
                <w:color w:val="000000"/>
              </w:rPr>
              <w:t>Walton Lane</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97</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67%</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32</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82</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5</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2</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3</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20</w:t>
            </w:r>
          </w:p>
        </w:tc>
      </w:tr>
      <w:tr w:rsidR="00201A0D" w:rsidTr="00201A0D">
        <w:trPr>
          <w:trHeight w:val="315"/>
        </w:trPr>
        <w:tc>
          <w:tcPr>
            <w:tcW w:w="1047" w:type="pct"/>
            <w:noWrap/>
            <w:tcMar>
              <w:top w:w="0" w:type="dxa"/>
              <w:left w:w="108" w:type="dxa"/>
              <w:bottom w:w="0" w:type="dxa"/>
              <w:right w:w="108" w:type="dxa"/>
            </w:tcMar>
            <w:vAlign w:val="center"/>
            <w:hideMark/>
          </w:tcPr>
          <w:p w:rsidR="00201A0D" w:rsidRDefault="00201A0D">
            <w:pPr>
              <w:rPr>
                <w:b/>
                <w:bCs/>
                <w:color w:val="000000"/>
              </w:rPr>
            </w:pPr>
            <w:r>
              <w:rPr>
                <w:b/>
                <w:bCs/>
                <w:color w:val="000000"/>
              </w:rPr>
              <w:t>Whitegate</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95</w:t>
            </w:r>
          </w:p>
        </w:tc>
        <w:tc>
          <w:tcPr>
            <w:tcW w:w="553" w:type="pct"/>
            <w:tcMar>
              <w:top w:w="0" w:type="dxa"/>
              <w:left w:w="108" w:type="dxa"/>
              <w:bottom w:w="0" w:type="dxa"/>
              <w:right w:w="108" w:type="dxa"/>
            </w:tcMar>
            <w:vAlign w:val="center"/>
            <w:hideMark/>
          </w:tcPr>
          <w:p w:rsidR="00201A0D" w:rsidRDefault="00201A0D">
            <w:pPr>
              <w:jc w:val="center"/>
              <w:rPr>
                <w:color w:val="000000"/>
              </w:rPr>
            </w:pPr>
            <w:r>
              <w:rPr>
                <w:color w:val="000000"/>
              </w:rPr>
              <w:t>81%</w:t>
            </w:r>
          </w:p>
        </w:tc>
        <w:tc>
          <w:tcPr>
            <w:tcW w:w="492" w:type="pct"/>
            <w:tcMar>
              <w:top w:w="0" w:type="dxa"/>
              <w:left w:w="108" w:type="dxa"/>
              <w:bottom w:w="0" w:type="dxa"/>
              <w:right w:w="108" w:type="dxa"/>
            </w:tcMar>
            <w:vAlign w:val="center"/>
            <w:hideMark/>
          </w:tcPr>
          <w:p w:rsidR="00201A0D" w:rsidRDefault="00201A0D">
            <w:pPr>
              <w:jc w:val="center"/>
              <w:rPr>
                <w:color w:val="000000"/>
              </w:rPr>
            </w:pPr>
            <w:r>
              <w:rPr>
                <w:color w:val="000000"/>
              </w:rPr>
              <w:t>18</w:t>
            </w:r>
          </w:p>
        </w:tc>
        <w:tc>
          <w:tcPr>
            <w:tcW w:w="427" w:type="pct"/>
            <w:tcMar>
              <w:top w:w="0" w:type="dxa"/>
              <w:left w:w="108" w:type="dxa"/>
              <w:bottom w:w="0" w:type="dxa"/>
              <w:right w:w="108" w:type="dxa"/>
            </w:tcMar>
            <w:vAlign w:val="center"/>
            <w:hideMark/>
          </w:tcPr>
          <w:p w:rsidR="00201A0D" w:rsidRDefault="00201A0D">
            <w:pPr>
              <w:jc w:val="center"/>
              <w:rPr>
                <w:color w:val="000000"/>
              </w:rPr>
            </w:pPr>
            <w:r>
              <w:rPr>
                <w:color w:val="000000"/>
              </w:rPr>
              <w:t>41</w:t>
            </w:r>
          </w:p>
        </w:tc>
        <w:tc>
          <w:tcPr>
            <w:tcW w:w="548" w:type="pct"/>
            <w:tcMar>
              <w:top w:w="0" w:type="dxa"/>
              <w:left w:w="108" w:type="dxa"/>
              <w:bottom w:w="0" w:type="dxa"/>
              <w:right w:w="108" w:type="dxa"/>
            </w:tcMar>
            <w:vAlign w:val="center"/>
            <w:hideMark/>
          </w:tcPr>
          <w:p w:rsidR="00201A0D" w:rsidRDefault="00201A0D">
            <w:pPr>
              <w:jc w:val="center"/>
              <w:rPr>
                <w:color w:val="000000"/>
              </w:rPr>
            </w:pPr>
            <w:r>
              <w:rPr>
                <w:color w:val="000000"/>
              </w:rPr>
              <w:t>4</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2</w:t>
            </w:r>
          </w:p>
        </w:tc>
        <w:tc>
          <w:tcPr>
            <w:tcW w:w="506" w:type="pct"/>
            <w:tcMar>
              <w:top w:w="0" w:type="dxa"/>
              <w:left w:w="108" w:type="dxa"/>
              <w:bottom w:w="0" w:type="dxa"/>
              <w:right w:w="108" w:type="dxa"/>
            </w:tcMar>
            <w:vAlign w:val="center"/>
            <w:hideMark/>
          </w:tcPr>
          <w:p w:rsidR="00201A0D" w:rsidRDefault="00201A0D">
            <w:pPr>
              <w:jc w:val="center"/>
              <w:rPr>
                <w:color w:val="000000"/>
              </w:rPr>
            </w:pPr>
            <w:r>
              <w:rPr>
                <w:color w:val="000000"/>
              </w:rPr>
              <w:t>2</w:t>
            </w:r>
          </w:p>
        </w:tc>
        <w:tc>
          <w:tcPr>
            <w:tcW w:w="459" w:type="pct"/>
            <w:tcMar>
              <w:top w:w="0" w:type="dxa"/>
              <w:left w:w="108" w:type="dxa"/>
              <w:bottom w:w="0" w:type="dxa"/>
              <w:right w:w="108" w:type="dxa"/>
            </w:tcMar>
            <w:vAlign w:val="center"/>
            <w:hideMark/>
          </w:tcPr>
          <w:p w:rsidR="00201A0D" w:rsidRDefault="00201A0D">
            <w:pPr>
              <w:jc w:val="center"/>
              <w:rPr>
                <w:color w:val="000000"/>
              </w:rPr>
            </w:pPr>
            <w:r>
              <w:rPr>
                <w:color w:val="000000"/>
              </w:rPr>
              <w:t>11</w:t>
            </w:r>
          </w:p>
        </w:tc>
      </w:tr>
      <w:tr w:rsidR="00201A0D" w:rsidTr="00201A0D">
        <w:trPr>
          <w:trHeight w:val="300"/>
        </w:trPr>
        <w:tc>
          <w:tcPr>
            <w:tcW w:w="1047" w:type="pct"/>
            <w:tcBorders>
              <w:top w:val="single" w:sz="8" w:space="0" w:color="9BC2E6"/>
              <w:left w:val="nil"/>
              <w:bottom w:val="nil"/>
              <w:right w:val="nil"/>
            </w:tcBorders>
            <w:shd w:val="clear" w:color="auto" w:fill="DDEBF7"/>
            <w:noWrap/>
            <w:tcMar>
              <w:top w:w="0" w:type="dxa"/>
              <w:left w:w="108" w:type="dxa"/>
              <w:bottom w:w="0" w:type="dxa"/>
              <w:right w:w="108" w:type="dxa"/>
            </w:tcMar>
            <w:vAlign w:val="center"/>
            <w:hideMark/>
          </w:tcPr>
          <w:p w:rsidR="00201A0D" w:rsidRDefault="00201A0D">
            <w:pPr>
              <w:rPr>
                <w:b/>
                <w:bCs/>
                <w:color w:val="000000"/>
              </w:rPr>
            </w:pPr>
            <w:r>
              <w:rPr>
                <w:b/>
                <w:bCs/>
                <w:color w:val="000000"/>
              </w:rPr>
              <w:t>Grand Total</w:t>
            </w:r>
          </w:p>
        </w:tc>
        <w:tc>
          <w:tcPr>
            <w:tcW w:w="459"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769</w:t>
            </w:r>
          </w:p>
        </w:tc>
        <w:tc>
          <w:tcPr>
            <w:tcW w:w="553"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71%</w:t>
            </w:r>
          </w:p>
        </w:tc>
        <w:tc>
          <w:tcPr>
            <w:tcW w:w="492"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225</w:t>
            </w:r>
          </w:p>
        </w:tc>
        <w:tc>
          <w:tcPr>
            <w:tcW w:w="427"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507</w:t>
            </w:r>
          </w:p>
        </w:tc>
        <w:tc>
          <w:tcPr>
            <w:tcW w:w="548"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72</w:t>
            </w:r>
          </w:p>
        </w:tc>
        <w:tc>
          <w:tcPr>
            <w:tcW w:w="506"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28</w:t>
            </w:r>
          </w:p>
        </w:tc>
        <w:tc>
          <w:tcPr>
            <w:tcW w:w="506"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44</w:t>
            </w:r>
          </w:p>
        </w:tc>
        <w:tc>
          <w:tcPr>
            <w:tcW w:w="459" w:type="pct"/>
            <w:tcBorders>
              <w:top w:val="single" w:sz="8" w:space="0" w:color="9BC2E6"/>
              <w:left w:val="nil"/>
              <w:bottom w:val="nil"/>
              <w:right w:val="nil"/>
            </w:tcBorders>
            <w:shd w:val="clear" w:color="auto" w:fill="DDEBF7"/>
            <w:tcMar>
              <w:top w:w="0" w:type="dxa"/>
              <w:left w:w="108" w:type="dxa"/>
              <w:bottom w:w="0" w:type="dxa"/>
              <w:right w:w="108" w:type="dxa"/>
            </w:tcMar>
            <w:vAlign w:val="center"/>
            <w:hideMark/>
          </w:tcPr>
          <w:p w:rsidR="00201A0D" w:rsidRDefault="00201A0D">
            <w:pPr>
              <w:jc w:val="center"/>
              <w:rPr>
                <w:b/>
                <w:bCs/>
                <w:color w:val="000000"/>
              </w:rPr>
            </w:pPr>
            <w:r>
              <w:rPr>
                <w:b/>
                <w:bCs/>
                <w:color w:val="000000"/>
              </w:rPr>
              <w:t>188</w:t>
            </w:r>
          </w:p>
        </w:tc>
      </w:tr>
    </w:tbl>
    <w:p w:rsidR="00CB4BA2" w:rsidRPr="00386222" w:rsidRDefault="00386222" w:rsidP="00386222">
      <w:pPr>
        <w:ind w:left="-993" w:right="-447"/>
        <w:rPr>
          <w:rFonts w:cs="Arial"/>
          <w:sz w:val="18"/>
          <w:szCs w:val="18"/>
        </w:rPr>
      </w:pPr>
      <w:r w:rsidRPr="00386222">
        <w:rPr>
          <w:sz w:val="18"/>
          <w:szCs w:val="18"/>
        </w:rPr>
        <w:t xml:space="preserve">The data is based on the position as at August 2018 with regards to CAF and utilises the summer '17/18 FEE headcount data.  </w:t>
      </w:r>
      <w:r w:rsidRPr="00386222">
        <w:rPr>
          <w:rFonts w:cs="Arial"/>
          <w:sz w:val="18"/>
          <w:szCs w:val="18"/>
        </w:rPr>
        <w:t>Data is for individuals only and in some cases records may relate to the same family as each other. The likelihood of this is low however given that the data is only for 2,</w:t>
      </w:r>
      <w:r w:rsidR="008A095B">
        <w:rPr>
          <w:rFonts w:cs="Arial"/>
          <w:sz w:val="18"/>
          <w:szCs w:val="18"/>
        </w:rPr>
        <w:t xml:space="preserve"> 3 &amp; 4 </w:t>
      </w:r>
      <w:proofErr w:type="spellStart"/>
      <w:r w:rsidR="008A095B">
        <w:rPr>
          <w:rFonts w:cs="Arial"/>
          <w:sz w:val="18"/>
          <w:szCs w:val="18"/>
        </w:rPr>
        <w:t>y</w:t>
      </w:r>
      <w:r w:rsidRPr="00386222">
        <w:rPr>
          <w:rFonts w:cs="Arial"/>
          <w:sz w:val="18"/>
          <w:szCs w:val="18"/>
        </w:rPr>
        <w:t>r</w:t>
      </w:r>
      <w:proofErr w:type="spellEnd"/>
      <w:r w:rsidRPr="00386222">
        <w:rPr>
          <w:rFonts w:cs="Arial"/>
          <w:sz w:val="18"/>
          <w:szCs w:val="18"/>
        </w:rPr>
        <w:t xml:space="preserve"> olds.</w:t>
      </w:r>
      <w:r w:rsidR="008A095B">
        <w:rPr>
          <w:rFonts w:cs="Arial"/>
          <w:sz w:val="18"/>
          <w:szCs w:val="18"/>
        </w:rPr>
        <w:t xml:space="preserve">  Nursery reach areas based on former designation of reach areas for children centres attached to the nurseries.</w:t>
      </w:r>
    </w:p>
    <w:p w:rsidR="000565E0" w:rsidRPr="000565E0" w:rsidRDefault="00AE553F" w:rsidP="00386222">
      <w:pPr>
        <w:ind w:left="-567"/>
        <w:rPr>
          <w:rFonts w:ascii="Arial" w:hAnsi="Arial" w:cs="Arial"/>
        </w:rPr>
      </w:pPr>
      <w:r w:rsidRPr="000565E0">
        <w:rPr>
          <w:rFonts w:ascii="Arial" w:hAnsi="Arial" w:cs="Arial"/>
        </w:rPr>
        <w:t>Further analysis of the cohort demonstrate</w:t>
      </w:r>
      <w:r w:rsidR="008A095B">
        <w:rPr>
          <w:rFonts w:ascii="Arial" w:hAnsi="Arial" w:cs="Arial"/>
        </w:rPr>
        <w:t>s</w:t>
      </w:r>
      <w:r w:rsidRPr="000565E0">
        <w:rPr>
          <w:rFonts w:ascii="Arial" w:hAnsi="Arial" w:cs="Arial"/>
        </w:rPr>
        <w:t xml:space="preserve"> that</w:t>
      </w:r>
      <w:r w:rsidR="008A095B">
        <w:rPr>
          <w:rFonts w:ascii="Arial" w:hAnsi="Arial" w:cs="Arial"/>
        </w:rPr>
        <w:t>,</w:t>
      </w:r>
      <w:r w:rsidRPr="000565E0">
        <w:rPr>
          <w:rFonts w:ascii="Arial" w:hAnsi="Arial" w:cs="Arial"/>
        </w:rPr>
        <w:t xml:space="preserve"> of those families within the cohort, 66% reside within the top 30% most deprived lower</w:t>
      </w:r>
      <w:r w:rsidR="00405D1C">
        <w:rPr>
          <w:rFonts w:ascii="Arial" w:hAnsi="Arial" w:cs="Arial"/>
        </w:rPr>
        <w:t xml:space="preserve"> super output areas within the N</w:t>
      </w:r>
      <w:r w:rsidRPr="000565E0">
        <w:rPr>
          <w:rFonts w:ascii="Arial" w:hAnsi="Arial" w:cs="Arial"/>
        </w:rPr>
        <w:t>ursery reach area, demonstrating that a higher proportion of the most deprived families are assigned to the programme (See Appendix 1)</w:t>
      </w:r>
      <w:r w:rsidR="00EB73E7" w:rsidRPr="000565E0">
        <w:rPr>
          <w:rFonts w:ascii="Arial" w:hAnsi="Arial" w:cs="Arial"/>
        </w:rPr>
        <w:t xml:space="preserve">.  It is suggested that families in the top 30% decile form </w:t>
      </w:r>
      <w:r w:rsidR="008A095B">
        <w:rPr>
          <w:rFonts w:ascii="Arial" w:hAnsi="Arial" w:cs="Arial"/>
        </w:rPr>
        <w:t>a</w:t>
      </w:r>
      <w:r w:rsidR="00EB73E7" w:rsidRPr="000565E0">
        <w:rPr>
          <w:rFonts w:ascii="Arial" w:hAnsi="Arial" w:cs="Arial"/>
        </w:rPr>
        <w:t xml:space="preserve"> priority for </w:t>
      </w:r>
      <w:r w:rsidR="008A095B">
        <w:rPr>
          <w:rFonts w:ascii="Arial" w:hAnsi="Arial" w:cs="Arial"/>
        </w:rPr>
        <w:t>any</w:t>
      </w:r>
      <w:r w:rsidR="00EB73E7" w:rsidRPr="000565E0">
        <w:rPr>
          <w:rFonts w:ascii="Arial" w:hAnsi="Arial" w:cs="Arial"/>
        </w:rPr>
        <w:t xml:space="preserve"> identified cohort in this pilot.</w:t>
      </w:r>
    </w:p>
    <w:p w:rsidR="000565E0" w:rsidRPr="000565E0" w:rsidRDefault="000565E0" w:rsidP="00386222">
      <w:pPr>
        <w:pStyle w:val="ListParagraph"/>
        <w:numPr>
          <w:ilvl w:val="0"/>
          <w:numId w:val="10"/>
        </w:numPr>
        <w:ind w:left="-567" w:firstLine="0"/>
        <w:rPr>
          <w:rFonts w:ascii="Arial" w:hAnsi="Arial" w:cs="Arial"/>
          <w:sz w:val="28"/>
          <w:szCs w:val="28"/>
        </w:rPr>
      </w:pPr>
      <w:r w:rsidRPr="000565E0">
        <w:rPr>
          <w:rFonts w:ascii="Arial" w:hAnsi="Arial" w:cs="Arial"/>
          <w:b/>
          <w:sz w:val="28"/>
          <w:szCs w:val="28"/>
        </w:rPr>
        <w:t>Nursery Pilot Recording Considerations</w:t>
      </w:r>
    </w:p>
    <w:p w:rsidR="000565E0" w:rsidRPr="000565E0" w:rsidRDefault="00405D1C" w:rsidP="00386222">
      <w:pPr>
        <w:spacing w:after="0"/>
        <w:ind w:left="-567"/>
        <w:rPr>
          <w:rFonts w:ascii="Arial" w:hAnsi="Arial" w:cs="Arial"/>
        </w:rPr>
      </w:pPr>
      <w:r>
        <w:rPr>
          <w:rFonts w:ascii="Arial" w:hAnsi="Arial" w:cs="Arial"/>
        </w:rPr>
        <w:t>For N</w:t>
      </w:r>
      <w:r w:rsidR="000565E0" w:rsidRPr="000565E0">
        <w:rPr>
          <w:rFonts w:ascii="Arial" w:hAnsi="Arial" w:cs="Arial"/>
        </w:rPr>
        <w:t xml:space="preserve">urseries undertaking the role of Lead Professional for TF Programme purposes and have a financial arrangement </w:t>
      </w:r>
      <w:r>
        <w:rPr>
          <w:rFonts w:ascii="Arial" w:hAnsi="Arial" w:cs="Arial"/>
        </w:rPr>
        <w:t>to support this</w:t>
      </w:r>
      <w:r w:rsidR="000565E0" w:rsidRPr="000565E0">
        <w:rPr>
          <w:rFonts w:ascii="Arial" w:hAnsi="Arial" w:cs="Arial"/>
        </w:rPr>
        <w:t xml:space="preserve">, the adoption of certain ways of working and recording to ensure that LCC are in a position to evidence the work undertaken with the </w:t>
      </w:r>
      <w:r>
        <w:rPr>
          <w:rFonts w:ascii="Arial" w:hAnsi="Arial" w:cs="Arial"/>
        </w:rPr>
        <w:t>family for PBR claim validation</w:t>
      </w:r>
      <w:r w:rsidR="000565E0" w:rsidRPr="000565E0">
        <w:rPr>
          <w:rFonts w:ascii="Arial" w:hAnsi="Arial" w:cs="Arial"/>
        </w:rPr>
        <w:t xml:space="preserve"> </w:t>
      </w:r>
      <w:r w:rsidRPr="000565E0">
        <w:rPr>
          <w:rFonts w:ascii="Arial" w:hAnsi="Arial" w:cs="Arial"/>
        </w:rPr>
        <w:t xml:space="preserve">would </w:t>
      </w:r>
      <w:r>
        <w:rPr>
          <w:rFonts w:ascii="Arial" w:hAnsi="Arial" w:cs="Arial"/>
        </w:rPr>
        <w:t xml:space="preserve">be </w:t>
      </w:r>
      <w:r w:rsidRPr="000565E0">
        <w:rPr>
          <w:rFonts w:ascii="Arial" w:hAnsi="Arial" w:cs="Arial"/>
        </w:rPr>
        <w:t>require</w:t>
      </w:r>
      <w:r>
        <w:rPr>
          <w:rFonts w:ascii="Arial" w:hAnsi="Arial" w:cs="Arial"/>
        </w:rPr>
        <w:t>.</w:t>
      </w:r>
    </w:p>
    <w:p w:rsidR="00405D1C" w:rsidRDefault="00405D1C" w:rsidP="00386222">
      <w:pPr>
        <w:spacing w:after="0"/>
        <w:ind w:left="-567"/>
        <w:rPr>
          <w:rFonts w:ascii="Arial" w:hAnsi="Arial" w:cs="Arial"/>
        </w:rPr>
      </w:pPr>
    </w:p>
    <w:p w:rsidR="000565E0" w:rsidRPr="000565E0" w:rsidRDefault="000565E0" w:rsidP="00386222">
      <w:pPr>
        <w:spacing w:after="0"/>
        <w:ind w:left="-567"/>
        <w:rPr>
          <w:rFonts w:ascii="Arial" w:hAnsi="Arial" w:cs="Arial"/>
        </w:rPr>
      </w:pPr>
      <w:r w:rsidRPr="000565E0">
        <w:rPr>
          <w:rFonts w:ascii="Arial" w:hAnsi="Arial" w:cs="Arial"/>
        </w:rPr>
        <w:t>The framework for this would need to include and consider:</w:t>
      </w:r>
    </w:p>
    <w:p w:rsidR="000565E0" w:rsidRPr="000565E0" w:rsidRDefault="000565E0" w:rsidP="00386222">
      <w:pPr>
        <w:pStyle w:val="ListParagraph"/>
        <w:numPr>
          <w:ilvl w:val="0"/>
          <w:numId w:val="7"/>
        </w:numPr>
        <w:spacing w:after="0" w:line="240" w:lineRule="auto"/>
        <w:ind w:left="0" w:hanging="567"/>
        <w:rPr>
          <w:rFonts w:ascii="Arial" w:hAnsi="Arial" w:cs="Arial"/>
        </w:rPr>
      </w:pPr>
      <w:r w:rsidRPr="000565E0">
        <w:rPr>
          <w:rFonts w:ascii="Arial" w:hAnsi="Arial" w:cs="Arial"/>
        </w:rPr>
        <w:t xml:space="preserve">Recording of CAF / TAF on </w:t>
      </w:r>
      <w:r w:rsidRPr="000565E0">
        <w:rPr>
          <w:rFonts w:ascii="Arial" w:hAnsi="Arial" w:cs="Arial"/>
          <w:u w:val="single"/>
        </w:rPr>
        <w:t>whole family</w:t>
      </w:r>
      <w:r w:rsidRPr="000565E0">
        <w:rPr>
          <w:rFonts w:ascii="Arial" w:hAnsi="Arial" w:cs="Arial"/>
        </w:rPr>
        <w:t xml:space="preserve"> basis</w:t>
      </w:r>
    </w:p>
    <w:p w:rsidR="000565E0" w:rsidRPr="000565E0" w:rsidRDefault="000565E0" w:rsidP="00386222">
      <w:pPr>
        <w:pStyle w:val="ListParagraph"/>
        <w:numPr>
          <w:ilvl w:val="0"/>
          <w:numId w:val="7"/>
        </w:numPr>
        <w:spacing w:after="0" w:line="240" w:lineRule="auto"/>
        <w:ind w:left="0" w:hanging="567"/>
        <w:rPr>
          <w:rFonts w:ascii="Arial" w:hAnsi="Arial" w:cs="Arial"/>
        </w:rPr>
      </w:pPr>
      <w:r w:rsidRPr="000565E0">
        <w:rPr>
          <w:rFonts w:ascii="Arial" w:hAnsi="Arial" w:cs="Arial"/>
        </w:rPr>
        <w:t>Consent obtained from the family by the nursery to undertake the work and share the information with LCC</w:t>
      </w:r>
    </w:p>
    <w:p w:rsidR="000565E0" w:rsidRPr="000565E0" w:rsidRDefault="000565E0" w:rsidP="00386222">
      <w:pPr>
        <w:pStyle w:val="ListParagraph"/>
        <w:numPr>
          <w:ilvl w:val="0"/>
          <w:numId w:val="7"/>
        </w:numPr>
        <w:spacing w:after="0" w:line="240" w:lineRule="auto"/>
        <w:ind w:left="0" w:hanging="567"/>
        <w:rPr>
          <w:rFonts w:ascii="Arial" w:hAnsi="Arial" w:cs="Arial"/>
        </w:rPr>
      </w:pPr>
      <w:r w:rsidRPr="000565E0">
        <w:rPr>
          <w:rFonts w:ascii="Arial" w:hAnsi="Arial" w:cs="Arial"/>
        </w:rPr>
        <w:t>Provision of a spreadsheet to allow documentation of information for all family members enabling consistency across nurseries and consideration of families for potential claims</w:t>
      </w:r>
    </w:p>
    <w:p w:rsidR="000565E0" w:rsidRDefault="000565E0" w:rsidP="00386222">
      <w:pPr>
        <w:pStyle w:val="ListParagraph"/>
        <w:numPr>
          <w:ilvl w:val="1"/>
          <w:numId w:val="7"/>
        </w:numPr>
        <w:spacing w:after="0" w:line="240" w:lineRule="auto"/>
        <w:ind w:left="-567" w:firstLine="0"/>
        <w:rPr>
          <w:rFonts w:ascii="Arial" w:hAnsi="Arial" w:cs="Arial"/>
          <w:sz w:val="20"/>
          <w:szCs w:val="20"/>
        </w:rPr>
        <w:sectPr w:rsidR="000565E0" w:rsidSect="00386222">
          <w:pgSz w:w="11906" w:h="16838"/>
          <w:pgMar w:top="1440" w:right="707" w:bottom="1440" w:left="1440" w:header="708" w:footer="708" w:gutter="0"/>
          <w:cols w:space="708"/>
          <w:docGrid w:linePitch="360"/>
        </w:sectPr>
      </w:pP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Forename</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Surname</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Date of Birth</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Gender</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Family Relationship</w:t>
      </w:r>
      <w:r w:rsidR="00386222">
        <w:rPr>
          <w:rFonts w:ascii="Arial" w:hAnsi="Arial" w:cs="Arial"/>
          <w:sz w:val="20"/>
          <w:szCs w:val="20"/>
        </w:rPr>
        <w:t>s</w:t>
      </w:r>
      <w:r>
        <w:rPr>
          <w:rFonts w:ascii="Arial" w:hAnsi="Arial" w:cs="Arial"/>
          <w:sz w:val="20"/>
          <w:szCs w:val="20"/>
        </w:rPr>
        <w:t xml:space="preserve">    (Mother, </w:t>
      </w:r>
      <w:r w:rsidR="00386222">
        <w:rPr>
          <w:rFonts w:ascii="Arial" w:hAnsi="Arial" w:cs="Arial"/>
          <w:sz w:val="20"/>
          <w:szCs w:val="20"/>
        </w:rPr>
        <w:t>father, significant o</w:t>
      </w:r>
      <w:r>
        <w:rPr>
          <w:rFonts w:ascii="Arial" w:hAnsi="Arial" w:cs="Arial"/>
          <w:sz w:val="20"/>
          <w:szCs w:val="20"/>
        </w:rPr>
        <w:t>thers</w:t>
      </w:r>
      <w:r w:rsidRPr="000565E0">
        <w:rPr>
          <w:rFonts w:ascii="Arial" w:hAnsi="Arial" w:cs="Arial"/>
          <w:sz w:val="20"/>
          <w:szCs w:val="20"/>
        </w:rPr>
        <w:t>, sibling</w:t>
      </w:r>
      <w:r>
        <w:rPr>
          <w:rFonts w:ascii="Arial" w:hAnsi="Arial" w:cs="Arial"/>
          <w:sz w:val="20"/>
          <w:szCs w:val="20"/>
        </w:rPr>
        <w:t>s</w:t>
      </w:r>
      <w:r w:rsidRPr="000565E0">
        <w:rPr>
          <w:rFonts w:ascii="Arial" w:hAnsi="Arial" w:cs="Arial"/>
          <w:sz w:val="20"/>
          <w:szCs w:val="20"/>
        </w:rPr>
        <w:t>)</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Ethnicity</w:t>
      </w:r>
    </w:p>
    <w:p w:rsid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 xml:space="preserve">Address in a standardised format </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CAF URN</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Start date</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End date</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Identification of TFU criteria present</w:t>
      </w:r>
    </w:p>
    <w:p w:rsidR="000565E0" w:rsidRPr="000565E0" w:rsidRDefault="000565E0" w:rsidP="00386222">
      <w:pPr>
        <w:pStyle w:val="ListParagraph"/>
        <w:numPr>
          <w:ilvl w:val="1"/>
          <w:numId w:val="7"/>
        </w:numPr>
        <w:spacing w:after="0" w:line="240" w:lineRule="auto"/>
        <w:ind w:left="567" w:hanging="283"/>
        <w:rPr>
          <w:rFonts w:ascii="Arial" w:hAnsi="Arial" w:cs="Arial"/>
          <w:sz w:val="20"/>
          <w:szCs w:val="20"/>
        </w:rPr>
      </w:pPr>
      <w:r w:rsidRPr="000565E0">
        <w:rPr>
          <w:rFonts w:ascii="Arial" w:hAnsi="Arial" w:cs="Arial"/>
          <w:sz w:val="20"/>
          <w:szCs w:val="20"/>
        </w:rPr>
        <w:t>Closure Reason (needs met, disengaged, declined consent)</w:t>
      </w:r>
    </w:p>
    <w:p w:rsidR="00386222" w:rsidRDefault="00386222" w:rsidP="00386222">
      <w:pPr>
        <w:pStyle w:val="ListParagraph"/>
        <w:numPr>
          <w:ilvl w:val="0"/>
          <w:numId w:val="8"/>
        </w:numPr>
        <w:spacing w:after="0" w:line="240" w:lineRule="auto"/>
        <w:ind w:left="0" w:hanging="567"/>
        <w:rPr>
          <w:rFonts w:ascii="Arial" w:hAnsi="Arial" w:cs="Arial"/>
        </w:rPr>
        <w:sectPr w:rsidR="00386222" w:rsidSect="00386222">
          <w:type w:val="continuous"/>
          <w:pgSz w:w="11906" w:h="16838"/>
          <w:pgMar w:top="1440" w:right="1440" w:bottom="1440" w:left="1440" w:header="708" w:footer="708" w:gutter="0"/>
          <w:cols w:space="708"/>
          <w:docGrid w:linePitch="360"/>
        </w:sectPr>
      </w:pPr>
    </w:p>
    <w:p w:rsidR="000565E0" w:rsidRPr="000565E0" w:rsidRDefault="000565E0" w:rsidP="00386222">
      <w:pPr>
        <w:pStyle w:val="ListParagraph"/>
        <w:numPr>
          <w:ilvl w:val="0"/>
          <w:numId w:val="8"/>
        </w:numPr>
        <w:spacing w:after="0" w:line="240" w:lineRule="auto"/>
        <w:ind w:left="0" w:hanging="567"/>
        <w:rPr>
          <w:rFonts w:ascii="Arial" w:hAnsi="Arial" w:cs="Arial"/>
        </w:rPr>
      </w:pPr>
      <w:r w:rsidRPr="000565E0">
        <w:rPr>
          <w:rFonts w:ascii="Arial" w:hAnsi="Arial" w:cs="Arial"/>
        </w:rPr>
        <w:t xml:space="preserve">How the information would be transferred between the nurseries and TF programme analysts (potentially need to set-up FTP accounts or utilise existing GCSX accounts where available) </w:t>
      </w:r>
    </w:p>
    <w:p w:rsidR="000565E0" w:rsidRPr="000565E0" w:rsidRDefault="000565E0" w:rsidP="00386222">
      <w:pPr>
        <w:pStyle w:val="ListParagraph"/>
        <w:numPr>
          <w:ilvl w:val="0"/>
          <w:numId w:val="8"/>
        </w:numPr>
        <w:spacing w:after="0" w:line="240" w:lineRule="auto"/>
        <w:ind w:left="0" w:hanging="567"/>
        <w:rPr>
          <w:rFonts w:ascii="Arial" w:hAnsi="Arial" w:cs="Arial"/>
        </w:rPr>
      </w:pPr>
      <w:r w:rsidRPr="000565E0">
        <w:rPr>
          <w:rFonts w:ascii="Arial" w:hAnsi="Arial" w:cs="Arial"/>
        </w:rPr>
        <w:t>Requirement for the information to be provided on a monthly basis at minimum</w:t>
      </w:r>
    </w:p>
    <w:p w:rsidR="00405D1C" w:rsidRDefault="00405D1C">
      <w:pPr>
        <w:rPr>
          <w:rFonts w:ascii="Arial" w:hAnsi="Arial" w:cs="Arial"/>
        </w:rPr>
      </w:pPr>
      <w:r>
        <w:rPr>
          <w:rFonts w:ascii="Arial" w:hAnsi="Arial" w:cs="Arial"/>
        </w:rPr>
        <w:br w:type="page"/>
      </w:r>
    </w:p>
    <w:p w:rsidR="00CB4BA2" w:rsidRDefault="00CB4BA2" w:rsidP="00386222">
      <w:pPr>
        <w:ind w:left="-567"/>
        <w:rPr>
          <w:rFonts w:ascii="Arial" w:hAnsi="Arial" w:cs="Arial"/>
        </w:rPr>
      </w:pPr>
    </w:p>
    <w:p w:rsidR="00AA1184" w:rsidRPr="000565E0" w:rsidRDefault="00AA1184" w:rsidP="00386222">
      <w:pPr>
        <w:pStyle w:val="ListParagraph"/>
        <w:numPr>
          <w:ilvl w:val="0"/>
          <w:numId w:val="10"/>
        </w:numPr>
        <w:ind w:left="-567" w:firstLine="0"/>
        <w:rPr>
          <w:rFonts w:ascii="Arial" w:hAnsi="Arial" w:cs="Arial"/>
          <w:b/>
          <w:sz w:val="28"/>
          <w:szCs w:val="28"/>
        </w:rPr>
      </w:pPr>
      <w:r w:rsidRPr="000565E0">
        <w:rPr>
          <w:rFonts w:ascii="Arial" w:hAnsi="Arial" w:cs="Arial"/>
          <w:b/>
          <w:sz w:val="28"/>
          <w:szCs w:val="28"/>
        </w:rPr>
        <w:t>Summary</w:t>
      </w:r>
    </w:p>
    <w:p w:rsidR="00AA1184" w:rsidRDefault="00AA1184" w:rsidP="00386222">
      <w:pPr>
        <w:ind w:left="-567"/>
        <w:rPr>
          <w:rFonts w:ascii="Arial" w:hAnsi="Arial" w:cs="Arial"/>
        </w:rPr>
      </w:pPr>
      <w:r>
        <w:rPr>
          <w:rFonts w:ascii="Arial" w:hAnsi="Arial" w:cs="Arial"/>
        </w:rPr>
        <w:t xml:space="preserve">In summary, the following terms for </w:t>
      </w:r>
      <w:r w:rsidR="00405D1C">
        <w:rPr>
          <w:rFonts w:ascii="Arial" w:hAnsi="Arial" w:cs="Arial"/>
        </w:rPr>
        <w:t>N</w:t>
      </w:r>
      <w:r>
        <w:rPr>
          <w:rFonts w:ascii="Arial" w:hAnsi="Arial" w:cs="Arial"/>
        </w:rPr>
        <w:t>ursery sector pilot are proposed;</w:t>
      </w:r>
    </w:p>
    <w:p w:rsidR="00AA1184" w:rsidRDefault="00AA1184" w:rsidP="00386222">
      <w:pPr>
        <w:pStyle w:val="ListParagraph"/>
        <w:numPr>
          <w:ilvl w:val="0"/>
          <w:numId w:val="6"/>
        </w:numPr>
        <w:ind w:left="0" w:hanging="567"/>
        <w:rPr>
          <w:rFonts w:ascii="Arial" w:hAnsi="Arial" w:cs="Arial"/>
        </w:rPr>
      </w:pPr>
      <w:r>
        <w:rPr>
          <w:rFonts w:ascii="Arial" w:hAnsi="Arial" w:cs="Arial"/>
        </w:rPr>
        <w:t>Pilot inclusion to be offered to seven nurseries initially; one in the North (Appletree in Lancaster), two in the South (</w:t>
      </w:r>
      <w:r w:rsidRPr="00AA1184">
        <w:rPr>
          <w:rFonts w:ascii="Arial" w:hAnsi="Arial" w:cs="Arial"/>
        </w:rPr>
        <w:t>Duke Street in Chorley</w:t>
      </w:r>
      <w:r>
        <w:rPr>
          <w:rFonts w:ascii="Arial" w:hAnsi="Arial" w:cs="Arial"/>
        </w:rPr>
        <w:t>, Stoneygate in Preston), four in the East (Fairfield in Hyndburn, Ribblesdale in Ribble Valley, Whitegate in Burnley and Walton Lane in Pendle).</w:t>
      </w:r>
    </w:p>
    <w:p w:rsidR="008A095B" w:rsidRDefault="008A095B" w:rsidP="00386222">
      <w:pPr>
        <w:pStyle w:val="ListParagraph"/>
        <w:numPr>
          <w:ilvl w:val="0"/>
          <w:numId w:val="6"/>
        </w:numPr>
        <w:ind w:left="0" w:hanging="567"/>
        <w:rPr>
          <w:rFonts w:ascii="Arial" w:hAnsi="Arial" w:cs="Arial"/>
        </w:rPr>
      </w:pPr>
      <w:r>
        <w:rPr>
          <w:rFonts w:ascii="Arial" w:hAnsi="Arial" w:cs="Arial"/>
        </w:rPr>
        <w:t>Pilot cohort of families to include all those families attached to the programme, not currently being worked with by CFW/CSC with at least o</w:t>
      </w:r>
      <w:r w:rsidR="00405D1C">
        <w:rPr>
          <w:rFonts w:ascii="Arial" w:hAnsi="Arial" w:cs="Arial"/>
        </w:rPr>
        <w:t>ne child under 5yrs, in the N</w:t>
      </w:r>
      <w:r>
        <w:rPr>
          <w:rFonts w:ascii="Arial" w:hAnsi="Arial" w:cs="Arial"/>
        </w:rPr>
        <w:t>ursery reach areas.</w:t>
      </w:r>
      <w:r w:rsidR="00D02E8D">
        <w:rPr>
          <w:rFonts w:ascii="Arial" w:hAnsi="Arial" w:cs="Arial"/>
        </w:rPr>
        <w:t xml:space="preserve">  This cohort being targeted in order to maximise the financial input available to the pilot nurseries.</w:t>
      </w:r>
    </w:p>
    <w:p w:rsidR="00AA1184" w:rsidRDefault="00405D1C" w:rsidP="00386222">
      <w:pPr>
        <w:pStyle w:val="ListParagraph"/>
        <w:numPr>
          <w:ilvl w:val="0"/>
          <w:numId w:val="6"/>
        </w:numPr>
        <w:ind w:left="0" w:hanging="567"/>
        <w:rPr>
          <w:rFonts w:ascii="Arial" w:hAnsi="Arial" w:cs="Arial"/>
        </w:rPr>
      </w:pPr>
      <w:r>
        <w:rPr>
          <w:rFonts w:ascii="Arial" w:hAnsi="Arial" w:cs="Arial"/>
        </w:rPr>
        <w:t>Pilot N</w:t>
      </w:r>
      <w:r w:rsidR="00AA1184">
        <w:rPr>
          <w:rFonts w:ascii="Arial" w:hAnsi="Arial" w:cs="Arial"/>
        </w:rPr>
        <w:t xml:space="preserve">urseries to be allocated </w:t>
      </w:r>
      <w:r w:rsidR="008A095B">
        <w:rPr>
          <w:rFonts w:ascii="Arial" w:hAnsi="Arial" w:cs="Arial"/>
        </w:rPr>
        <w:t>225</w:t>
      </w:r>
      <w:r w:rsidR="00AA1184">
        <w:rPr>
          <w:rFonts w:ascii="Arial" w:hAnsi="Arial" w:cs="Arial"/>
        </w:rPr>
        <w:t xml:space="preserve"> 'attached families' to work with as Lead Professional</w:t>
      </w:r>
    </w:p>
    <w:p w:rsidR="00AA1184" w:rsidRDefault="00405D1C" w:rsidP="00386222">
      <w:pPr>
        <w:pStyle w:val="ListParagraph"/>
        <w:numPr>
          <w:ilvl w:val="0"/>
          <w:numId w:val="6"/>
        </w:numPr>
        <w:ind w:left="0" w:hanging="567"/>
        <w:rPr>
          <w:rFonts w:ascii="Arial" w:hAnsi="Arial" w:cs="Arial"/>
        </w:rPr>
      </w:pPr>
      <w:r>
        <w:rPr>
          <w:rFonts w:ascii="Arial" w:hAnsi="Arial" w:cs="Arial"/>
        </w:rPr>
        <w:t>Pilot N</w:t>
      </w:r>
      <w:r w:rsidR="00AA1184">
        <w:rPr>
          <w:rFonts w:ascii="Arial" w:hAnsi="Arial" w:cs="Arial"/>
        </w:rPr>
        <w:t>urseries to be paid £</w:t>
      </w:r>
      <w:r w:rsidR="00D02E8D">
        <w:rPr>
          <w:rFonts w:ascii="Arial" w:hAnsi="Arial" w:cs="Arial"/>
        </w:rPr>
        <w:t>135,000</w:t>
      </w:r>
      <w:r w:rsidR="00AA1184">
        <w:rPr>
          <w:rFonts w:ascii="Arial" w:hAnsi="Arial" w:cs="Arial"/>
        </w:rPr>
        <w:t xml:space="preserve"> on allocation and a further £</w:t>
      </w:r>
      <w:r w:rsidR="00D02E8D">
        <w:rPr>
          <w:rFonts w:ascii="Arial" w:hAnsi="Arial" w:cs="Arial"/>
        </w:rPr>
        <w:t>168,750</w:t>
      </w:r>
      <w:r w:rsidR="00AA1184">
        <w:rPr>
          <w:rFonts w:ascii="Arial" w:hAnsi="Arial" w:cs="Arial"/>
        </w:rPr>
        <w:t xml:space="preserve"> on verified submission of relevant PBR claims (assuming 100% successful compliance)</w:t>
      </w:r>
    </w:p>
    <w:p w:rsidR="00AA1184" w:rsidRDefault="00AA1184" w:rsidP="00386222">
      <w:pPr>
        <w:pStyle w:val="ListParagraph"/>
        <w:numPr>
          <w:ilvl w:val="0"/>
          <w:numId w:val="6"/>
        </w:numPr>
        <w:spacing w:after="0"/>
        <w:ind w:left="0" w:hanging="567"/>
        <w:rPr>
          <w:rFonts w:ascii="Arial" w:hAnsi="Arial" w:cs="Arial"/>
        </w:rPr>
      </w:pPr>
      <w:r>
        <w:rPr>
          <w:rFonts w:ascii="Arial" w:hAnsi="Arial" w:cs="Arial"/>
        </w:rPr>
        <w:t>The following summary profile for the pilot is proposed;</w:t>
      </w:r>
    </w:p>
    <w:p w:rsidR="00AA1184" w:rsidRDefault="00AA1184" w:rsidP="00AA1184">
      <w:pPr>
        <w:pStyle w:val="ListParagraph"/>
        <w:spacing w:after="0"/>
        <w:rPr>
          <w:rFonts w:ascii="Arial" w:hAnsi="Arial" w:cs="Arial"/>
        </w:rPr>
      </w:pPr>
    </w:p>
    <w:tbl>
      <w:tblPr>
        <w:tblStyle w:val="TableGrid"/>
        <w:tblW w:w="11058" w:type="dxa"/>
        <w:tblInd w:w="-998" w:type="dxa"/>
        <w:tblLook w:val="04A0" w:firstRow="1" w:lastRow="0" w:firstColumn="1" w:lastColumn="0" w:noHBand="0" w:noVBand="1"/>
      </w:tblPr>
      <w:tblGrid>
        <w:gridCol w:w="2269"/>
        <w:gridCol w:w="1985"/>
        <w:gridCol w:w="1701"/>
        <w:gridCol w:w="3118"/>
        <w:gridCol w:w="1985"/>
      </w:tblGrid>
      <w:tr w:rsidR="00AA1184" w:rsidTr="00823E85">
        <w:tc>
          <w:tcPr>
            <w:tcW w:w="2269" w:type="dxa"/>
            <w:shd w:val="clear" w:color="auto" w:fill="BFBFBF" w:themeFill="background1" w:themeFillShade="BF"/>
          </w:tcPr>
          <w:p w:rsidR="00AA1184" w:rsidRDefault="00AA1184" w:rsidP="00AA1184">
            <w:pPr>
              <w:pStyle w:val="ListParagraph"/>
              <w:ind w:left="0"/>
              <w:rPr>
                <w:rFonts w:ascii="Arial" w:hAnsi="Arial" w:cs="Arial"/>
              </w:rPr>
            </w:pPr>
            <w:r>
              <w:rPr>
                <w:rFonts w:ascii="Arial" w:hAnsi="Arial" w:cs="Arial"/>
              </w:rPr>
              <w:t>Nursery Pilot Site</w:t>
            </w:r>
          </w:p>
          <w:p w:rsidR="00AA1184" w:rsidRDefault="00AA1184" w:rsidP="00AA1184">
            <w:pPr>
              <w:pStyle w:val="ListParagraph"/>
              <w:ind w:left="0"/>
              <w:rPr>
                <w:rFonts w:ascii="Arial" w:hAnsi="Arial" w:cs="Arial"/>
              </w:rPr>
            </w:pPr>
          </w:p>
        </w:tc>
        <w:tc>
          <w:tcPr>
            <w:tcW w:w="1985" w:type="dxa"/>
            <w:shd w:val="clear" w:color="auto" w:fill="BFBFBF" w:themeFill="background1" w:themeFillShade="BF"/>
          </w:tcPr>
          <w:p w:rsidR="00AA1184" w:rsidRDefault="00AA1184" w:rsidP="00AA1184">
            <w:pPr>
              <w:pStyle w:val="ListParagraph"/>
              <w:ind w:left="0"/>
              <w:rPr>
                <w:rFonts w:ascii="Arial" w:hAnsi="Arial" w:cs="Arial"/>
              </w:rPr>
            </w:pPr>
            <w:r>
              <w:rPr>
                <w:rFonts w:ascii="Arial" w:hAnsi="Arial" w:cs="Arial"/>
              </w:rPr>
              <w:t>Number of allocated 'TF Attached' families</w:t>
            </w:r>
          </w:p>
        </w:tc>
        <w:tc>
          <w:tcPr>
            <w:tcW w:w="1701" w:type="dxa"/>
            <w:shd w:val="clear" w:color="auto" w:fill="BFBFBF" w:themeFill="background1" w:themeFillShade="BF"/>
          </w:tcPr>
          <w:p w:rsidR="00AA1184" w:rsidRDefault="00AA1184" w:rsidP="00AA1184">
            <w:pPr>
              <w:pStyle w:val="ListParagraph"/>
              <w:ind w:left="0"/>
              <w:rPr>
                <w:rFonts w:ascii="Arial" w:hAnsi="Arial" w:cs="Arial"/>
              </w:rPr>
            </w:pPr>
            <w:r>
              <w:rPr>
                <w:rFonts w:ascii="Arial" w:hAnsi="Arial" w:cs="Arial"/>
              </w:rPr>
              <w:t xml:space="preserve">Initial funding allocation for attachment </w:t>
            </w:r>
          </w:p>
        </w:tc>
        <w:tc>
          <w:tcPr>
            <w:tcW w:w="3118" w:type="dxa"/>
            <w:shd w:val="clear" w:color="auto" w:fill="BFBFBF" w:themeFill="background1" w:themeFillShade="BF"/>
          </w:tcPr>
          <w:p w:rsidR="00AA1184" w:rsidRDefault="00D02E8D" w:rsidP="00AA1184">
            <w:pPr>
              <w:pStyle w:val="ListParagraph"/>
              <w:ind w:left="0"/>
              <w:rPr>
                <w:rFonts w:ascii="Arial" w:hAnsi="Arial" w:cs="Arial"/>
              </w:rPr>
            </w:pPr>
            <w:r>
              <w:rPr>
                <w:rFonts w:ascii="Arial" w:hAnsi="Arial" w:cs="Arial"/>
              </w:rPr>
              <w:t xml:space="preserve">Potential </w:t>
            </w:r>
            <w:r w:rsidR="00AA1184">
              <w:rPr>
                <w:rFonts w:ascii="Arial" w:hAnsi="Arial" w:cs="Arial"/>
              </w:rPr>
              <w:t>Subsequent funding allocation for PBR (assuming 100% compliance)</w:t>
            </w:r>
          </w:p>
        </w:tc>
        <w:tc>
          <w:tcPr>
            <w:tcW w:w="1985" w:type="dxa"/>
            <w:shd w:val="clear" w:color="auto" w:fill="BFBFBF" w:themeFill="background1" w:themeFillShade="BF"/>
          </w:tcPr>
          <w:p w:rsidR="00AA1184" w:rsidRDefault="00AA1184" w:rsidP="00AA1184">
            <w:pPr>
              <w:pStyle w:val="ListParagraph"/>
              <w:ind w:left="0"/>
              <w:rPr>
                <w:rFonts w:ascii="Arial" w:hAnsi="Arial" w:cs="Arial"/>
              </w:rPr>
            </w:pPr>
            <w:r>
              <w:rPr>
                <w:rFonts w:ascii="Arial" w:hAnsi="Arial" w:cs="Arial"/>
              </w:rPr>
              <w:t>Total funding available</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Appletree</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24</w:t>
            </w:r>
          </w:p>
        </w:tc>
        <w:tc>
          <w:tcPr>
            <w:tcW w:w="1701" w:type="dxa"/>
          </w:tcPr>
          <w:p w:rsidR="00D07656" w:rsidRDefault="00D07656" w:rsidP="00D07656">
            <w:pPr>
              <w:jc w:val="center"/>
              <w:rPr>
                <w:rFonts w:ascii="Calibri" w:hAnsi="Calibri"/>
                <w:color w:val="000000"/>
              </w:rPr>
            </w:pPr>
            <w:r>
              <w:rPr>
                <w:rFonts w:ascii="Calibri" w:hAnsi="Calibri"/>
                <w:color w:val="000000"/>
              </w:rPr>
              <w:t>£14,400</w:t>
            </w:r>
          </w:p>
        </w:tc>
        <w:tc>
          <w:tcPr>
            <w:tcW w:w="3118" w:type="dxa"/>
          </w:tcPr>
          <w:p w:rsidR="00D07656" w:rsidRDefault="00D07656" w:rsidP="00D07656">
            <w:pPr>
              <w:jc w:val="center"/>
              <w:rPr>
                <w:rFonts w:ascii="Calibri" w:hAnsi="Calibri"/>
                <w:color w:val="000000"/>
              </w:rPr>
            </w:pPr>
            <w:r>
              <w:rPr>
                <w:rFonts w:ascii="Calibri" w:hAnsi="Calibri"/>
                <w:color w:val="000000"/>
              </w:rPr>
              <w:t>£18,000</w:t>
            </w:r>
          </w:p>
        </w:tc>
        <w:tc>
          <w:tcPr>
            <w:tcW w:w="1985" w:type="dxa"/>
          </w:tcPr>
          <w:p w:rsidR="00D07656" w:rsidRDefault="00D07656" w:rsidP="00D07656">
            <w:pPr>
              <w:jc w:val="center"/>
              <w:rPr>
                <w:rFonts w:ascii="Calibri" w:hAnsi="Calibri"/>
                <w:color w:val="000000"/>
              </w:rPr>
            </w:pPr>
            <w:r>
              <w:rPr>
                <w:rFonts w:ascii="Calibri" w:hAnsi="Calibri"/>
                <w:color w:val="000000"/>
              </w:rPr>
              <w:t>£32,400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Duke Street</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47</w:t>
            </w:r>
          </w:p>
        </w:tc>
        <w:tc>
          <w:tcPr>
            <w:tcW w:w="1701" w:type="dxa"/>
          </w:tcPr>
          <w:p w:rsidR="00D07656" w:rsidRDefault="00D07656" w:rsidP="00D07656">
            <w:pPr>
              <w:jc w:val="center"/>
              <w:rPr>
                <w:rFonts w:ascii="Calibri" w:hAnsi="Calibri"/>
                <w:color w:val="000000"/>
              </w:rPr>
            </w:pPr>
            <w:r>
              <w:rPr>
                <w:rFonts w:ascii="Calibri" w:hAnsi="Calibri"/>
                <w:color w:val="000000"/>
              </w:rPr>
              <w:t>£28,200</w:t>
            </w:r>
          </w:p>
        </w:tc>
        <w:tc>
          <w:tcPr>
            <w:tcW w:w="3118" w:type="dxa"/>
          </w:tcPr>
          <w:p w:rsidR="00D07656" w:rsidRDefault="00D07656" w:rsidP="00D07656">
            <w:pPr>
              <w:jc w:val="center"/>
              <w:rPr>
                <w:rFonts w:ascii="Calibri" w:hAnsi="Calibri"/>
                <w:color w:val="000000"/>
              </w:rPr>
            </w:pPr>
            <w:r>
              <w:rPr>
                <w:rFonts w:ascii="Calibri" w:hAnsi="Calibri"/>
                <w:color w:val="000000"/>
              </w:rPr>
              <w:t>£35,250</w:t>
            </w:r>
          </w:p>
        </w:tc>
        <w:tc>
          <w:tcPr>
            <w:tcW w:w="1985" w:type="dxa"/>
          </w:tcPr>
          <w:p w:rsidR="00D07656" w:rsidRDefault="00D07656" w:rsidP="00D07656">
            <w:pPr>
              <w:jc w:val="center"/>
              <w:rPr>
                <w:rFonts w:ascii="Calibri" w:hAnsi="Calibri"/>
                <w:color w:val="000000"/>
              </w:rPr>
            </w:pPr>
            <w:r>
              <w:rPr>
                <w:rFonts w:ascii="Calibri" w:hAnsi="Calibri"/>
                <w:color w:val="000000"/>
              </w:rPr>
              <w:t>£63,450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Fairfield</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36</w:t>
            </w:r>
          </w:p>
        </w:tc>
        <w:tc>
          <w:tcPr>
            <w:tcW w:w="1701" w:type="dxa"/>
          </w:tcPr>
          <w:p w:rsidR="00D07656" w:rsidRDefault="00D07656" w:rsidP="00D07656">
            <w:pPr>
              <w:jc w:val="center"/>
              <w:rPr>
                <w:rFonts w:ascii="Calibri" w:hAnsi="Calibri"/>
                <w:color w:val="000000"/>
              </w:rPr>
            </w:pPr>
            <w:r>
              <w:rPr>
                <w:rFonts w:ascii="Calibri" w:hAnsi="Calibri"/>
                <w:color w:val="000000"/>
              </w:rPr>
              <w:t>£21,600</w:t>
            </w:r>
          </w:p>
        </w:tc>
        <w:tc>
          <w:tcPr>
            <w:tcW w:w="3118" w:type="dxa"/>
          </w:tcPr>
          <w:p w:rsidR="00D07656" w:rsidRDefault="00D07656" w:rsidP="00D07656">
            <w:pPr>
              <w:jc w:val="center"/>
              <w:rPr>
                <w:rFonts w:ascii="Calibri" w:hAnsi="Calibri"/>
                <w:color w:val="000000"/>
              </w:rPr>
            </w:pPr>
            <w:r>
              <w:rPr>
                <w:rFonts w:ascii="Calibri" w:hAnsi="Calibri"/>
                <w:color w:val="000000"/>
              </w:rPr>
              <w:t>£27,000</w:t>
            </w:r>
          </w:p>
        </w:tc>
        <w:tc>
          <w:tcPr>
            <w:tcW w:w="1985" w:type="dxa"/>
          </w:tcPr>
          <w:p w:rsidR="00D07656" w:rsidRDefault="00D07656" w:rsidP="00D07656">
            <w:pPr>
              <w:jc w:val="center"/>
              <w:rPr>
                <w:rFonts w:ascii="Calibri" w:hAnsi="Calibri"/>
                <w:color w:val="000000"/>
              </w:rPr>
            </w:pPr>
            <w:r>
              <w:rPr>
                <w:rFonts w:ascii="Calibri" w:hAnsi="Calibri"/>
                <w:color w:val="000000"/>
              </w:rPr>
              <w:t>£48,600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Ribblesdale</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19</w:t>
            </w:r>
          </w:p>
        </w:tc>
        <w:tc>
          <w:tcPr>
            <w:tcW w:w="1701" w:type="dxa"/>
          </w:tcPr>
          <w:p w:rsidR="00D07656" w:rsidRDefault="00D07656" w:rsidP="00D07656">
            <w:pPr>
              <w:jc w:val="center"/>
              <w:rPr>
                <w:rFonts w:ascii="Calibri" w:hAnsi="Calibri"/>
                <w:color w:val="000000"/>
              </w:rPr>
            </w:pPr>
            <w:r>
              <w:rPr>
                <w:rFonts w:ascii="Calibri" w:hAnsi="Calibri"/>
                <w:color w:val="000000"/>
              </w:rPr>
              <w:t>£11,400</w:t>
            </w:r>
          </w:p>
        </w:tc>
        <w:tc>
          <w:tcPr>
            <w:tcW w:w="3118" w:type="dxa"/>
          </w:tcPr>
          <w:p w:rsidR="00D07656" w:rsidRDefault="00D07656" w:rsidP="00D07656">
            <w:pPr>
              <w:jc w:val="center"/>
              <w:rPr>
                <w:rFonts w:ascii="Calibri" w:hAnsi="Calibri"/>
                <w:color w:val="000000"/>
              </w:rPr>
            </w:pPr>
            <w:r>
              <w:rPr>
                <w:rFonts w:ascii="Calibri" w:hAnsi="Calibri"/>
                <w:color w:val="000000"/>
              </w:rPr>
              <w:t>£14,250</w:t>
            </w:r>
          </w:p>
        </w:tc>
        <w:tc>
          <w:tcPr>
            <w:tcW w:w="1985" w:type="dxa"/>
          </w:tcPr>
          <w:p w:rsidR="00D07656" w:rsidRDefault="00D07656" w:rsidP="00D07656">
            <w:pPr>
              <w:jc w:val="center"/>
              <w:rPr>
                <w:rFonts w:ascii="Calibri" w:hAnsi="Calibri"/>
                <w:color w:val="000000"/>
              </w:rPr>
            </w:pPr>
            <w:r>
              <w:rPr>
                <w:rFonts w:ascii="Calibri" w:hAnsi="Calibri"/>
                <w:color w:val="000000"/>
              </w:rPr>
              <w:t>£25,650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Stoneygate</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49</w:t>
            </w:r>
          </w:p>
        </w:tc>
        <w:tc>
          <w:tcPr>
            <w:tcW w:w="1701" w:type="dxa"/>
          </w:tcPr>
          <w:p w:rsidR="00D07656" w:rsidRDefault="00D07656" w:rsidP="00D07656">
            <w:pPr>
              <w:jc w:val="center"/>
              <w:rPr>
                <w:rFonts w:ascii="Calibri" w:hAnsi="Calibri"/>
                <w:color w:val="000000"/>
              </w:rPr>
            </w:pPr>
            <w:r>
              <w:rPr>
                <w:rFonts w:ascii="Calibri" w:hAnsi="Calibri"/>
                <w:color w:val="000000"/>
              </w:rPr>
              <w:t>£29,400</w:t>
            </w:r>
          </w:p>
        </w:tc>
        <w:tc>
          <w:tcPr>
            <w:tcW w:w="3118" w:type="dxa"/>
          </w:tcPr>
          <w:p w:rsidR="00D07656" w:rsidRDefault="00D07656" w:rsidP="00D07656">
            <w:pPr>
              <w:jc w:val="center"/>
              <w:rPr>
                <w:rFonts w:ascii="Calibri" w:hAnsi="Calibri"/>
                <w:color w:val="000000"/>
              </w:rPr>
            </w:pPr>
            <w:r>
              <w:rPr>
                <w:rFonts w:ascii="Calibri" w:hAnsi="Calibri"/>
                <w:color w:val="000000"/>
              </w:rPr>
              <w:t>£36,750</w:t>
            </w:r>
          </w:p>
        </w:tc>
        <w:tc>
          <w:tcPr>
            <w:tcW w:w="1985" w:type="dxa"/>
          </w:tcPr>
          <w:p w:rsidR="00D07656" w:rsidRDefault="00D07656" w:rsidP="00D07656">
            <w:pPr>
              <w:jc w:val="center"/>
              <w:rPr>
                <w:rFonts w:ascii="Calibri" w:hAnsi="Calibri"/>
                <w:color w:val="000000"/>
              </w:rPr>
            </w:pPr>
            <w:r>
              <w:rPr>
                <w:rFonts w:ascii="Calibri" w:hAnsi="Calibri"/>
                <w:color w:val="000000"/>
              </w:rPr>
              <w:t>£66,150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Walton Lane</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32</w:t>
            </w:r>
          </w:p>
        </w:tc>
        <w:tc>
          <w:tcPr>
            <w:tcW w:w="1701" w:type="dxa"/>
          </w:tcPr>
          <w:p w:rsidR="00D07656" w:rsidRDefault="00D07656" w:rsidP="00D07656">
            <w:pPr>
              <w:jc w:val="center"/>
              <w:rPr>
                <w:rFonts w:ascii="Calibri" w:hAnsi="Calibri"/>
                <w:color w:val="000000"/>
              </w:rPr>
            </w:pPr>
            <w:r>
              <w:rPr>
                <w:rFonts w:ascii="Calibri" w:hAnsi="Calibri"/>
                <w:color w:val="000000"/>
              </w:rPr>
              <w:t>£19,200</w:t>
            </w:r>
          </w:p>
        </w:tc>
        <w:tc>
          <w:tcPr>
            <w:tcW w:w="3118" w:type="dxa"/>
          </w:tcPr>
          <w:p w:rsidR="00D07656" w:rsidRDefault="00D07656" w:rsidP="00D07656">
            <w:pPr>
              <w:jc w:val="center"/>
              <w:rPr>
                <w:rFonts w:ascii="Calibri" w:hAnsi="Calibri"/>
                <w:color w:val="000000"/>
              </w:rPr>
            </w:pPr>
            <w:r>
              <w:rPr>
                <w:rFonts w:ascii="Calibri" w:hAnsi="Calibri"/>
                <w:color w:val="000000"/>
              </w:rPr>
              <w:t>£24,000</w:t>
            </w:r>
          </w:p>
        </w:tc>
        <w:tc>
          <w:tcPr>
            <w:tcW w:w="1985" w:type="dxa"/>
          </w:tcPr>
          <w:p w:rsidR="00D07656" w:rsidRDefault="00D07656" w:rsidP="00D07656">
            <w:pPr>
              <w:jc w:val="center"/>
              <w:rPr>
                <w:rFonts w:ascii="Calibri" w:hAnsi="Calibri"/>
                <w:color w:val="000000"/>
              </w:rPr>
            </w:pPr>
            <w:r>
              <w:rPr>
                <w:rFonts w:ascii="Calibri" w:hAnsi="Calibri"/>
                <w:color w:val="000000"/>
              </w:rPr>
              <w:t>£43,200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Whitegate</w:t>
            </w:r>
          </w:p>
          <w:p w:rsidR="00D07656" w:rsidRPr="005D56D9" w:rsidRDefault="00D07656" w:rsidP="00D07656">
            <w:pPr>
              <w:rPr>
                <w:b/>
                <w:color w:val="000000"/>
                <w:lang w:eastAsia="en-GB"/>
              </w:rPr>
            </w:pPr>
          </w:p>
        </w:tc>
        <w:tc>
          <w:tcPr>
            <w:tcW w:w="1985" w:type="dxa"/>
          </w:tcPr>
          <w:p w:rsidR="00D07656" w:rsidRDefault="00D07656" w:rsidP="00D07656">
            <w:pPr>
              <w:jc w:val="center"/>
              <w:rPr>
                <w:rFonts w:ascii="Calibri" w:hAnsi="Calibri"/>
                <w:color w:val="000000"/>
              </w:rPr>
            </w:pPr>
            <w:r>
              <w:rPr>
                <w:rFonts w:ascii="Calibri" w:hAnsi="Calibri"/>
                <w:color w:val="000000"/>
              </w:rPr>
              <w:t>18</w:t>
            </w:r>
          </w:p>
        </w:tc>
        <w:tc>
          <w:tcPr>
            <w:tcW w:w="1701" w:type="dxa"/>
          </w:tcPr>
          <w:p w:rsidR="00D07656" w:rsidRDefault="00D07656" w:rsidP="00D07656">
            <w:pPr>
              <w:jc w:val="center"/>
              <w:rPr>
                <w:rFonts w:ascii="Calibri" w:hAnsi="Calibri"/>
                <w:color w:val="000000"/>
              </w:rPr>
            </w:pPr>
            <w:r>
              <w:rPr>
                <w:rFonts w:ascii="Calibri" w:hAnsi="Calibri"/>
                <w:color w:val="000000"/>
              </w:rPr>
              <w:t>£10,800</w:t>
            </w:r>
          </w:p>
        </w:tc>
        <w:tc>
          <w:tcPr>
            <w:tcW w:w="3118" w:type="dxa"/>
          </w:tcPr>
          <w:p w:rsidR="00D07656" w:rsidRDefault="00D07656" w:rsidP="00D07656">
            <w:pPr>
              <w:jc w:val="center"/>
              <w:rPr>
                <w:rFonts w:ascii="Calibri" w:hAnsi="Calibri"/>
                <w:color w:val="000000"/>
              </w:rPr>
            </w:pPr>
            <w:r>
              <w:rPr>
                <w:rFonts w:ascii="Calibri" w:hAnsi="Calibri"/>
                <w:color w:val="000000"/>
              </w:rPr>
              <w:t>£13,500</w:t>
            </w:r>
          </w:p>
        </w:tc>
        <w:tc>
          <w:tcPr>
            <w:tcW w:w="1985" w:type="dxa"/>
          </w:tcPr>
          <w:p w:rsidR="00D07656" w:rsidRDefault="00D07656" w:rsidP="00D07656">
            <w:pPr>
              <w:jc w:val="center"/>
              <w:rPr>
                <w:rFonts w:ascii="Calibri" w:hAnsi="Calibri"/>
                <w:color w:val="000000"/>
              </w:rPr>
            </w:pPr>
            <w:r>
              <w:rPr>
                <w:rFonts w:ascii="Calibri" w:hAnsi="Calibri"/>
                <w:color w:val="000000"/>
              </w:rPr>
              <w:t>£24,300</w:t>
            </w:r>
          </w:p>
        </w:tc>
      </w:tr>
      <w:tr w:rsidR="00D07656" w:rsidTr="00D07656">
        <w:tc>
          <w:tcPr>
            <w:tcW w:w="2269" w:type="dxa"/>
            <w:shd w:val="clear" w:color="auto" w:fill="D9D9D9" w:themeFill="background1" w:themeFillShade="D9"/>
            <w:vAlign w:val="bottom"/>
          </w:tcPr>
          <w:p w:rsidR="00D07656" w:rsidRPr="005D56D9" w:rsidRDefault="00D07656" w:rsidP="00D07656">
            <w:pPr>
              <w:rPr>
                <w:b/>
                <w:color w:val="000000"/>
                <w:lang w:eastAsia="en-GB"/>
              </w:rPr>
            </w:pPr>
            <w:r>
              <w:rPr>
                <w:b/>
                <w:color w:val="000000"/>
                <w:lang w:eastAsia="en-GB"/>
              </w:rPr>
              <w:t>TOTALS</w:t>
            </w:r>
          </w:p>
        </w:tc>
        <w:tc>
          <w:tcPr>
            <w:tcW w:w="1985" w:type="dxa"/>
            <w:shd w:val="clear" w:color="auto" w:fill="D9D9D9" w:themeFill="background1" w:themeFillShade="D9"/>
          </w:tcPr>
          <w:p w:rsidR="00D07656" w:rsidRDefault="00D07656" w:rsidP="00D07656">
            <w:pPr>
              <w:jc w:val="center"/>
              <w:rPr>
                <w:rFonts w:ascii="Calibri" w:hAnsi="Calibri"/>
                <w:b/>
                <w:bCs/>
                <w:color w:val="000000"/>
              </w:rPr>
            </w:pPr>
            <w:r>
              <w:rPr>
                <w:rFonts w:ascii="Calibri" w:hAnsi="Calibri"/>
                <w:b/>
                <w:bCs/>
                <w:color w:val="000000"/>
              </w:rPr>
              <w:t>225</w:t>
            </w:r>
          </w:p>
        </w:tc>
        <w:tc>
          <w:tcPr>
            <w:tcW w:w="1701" w:type="dxa"/>
            <w:shd w:val="clear" w:color="auto" w:fill="D9D9D9" w:themeFill="background1" w:themeFillShade="D9"/>
          </w:tcPr>
          <w:p w:rsidR="00D07656" w:rsidRDefault="00D07656" w:rsidP="00D07656">
            <w:pPr>
              <w:jc w:val="center"/>
              <w:rPr>
                <w:rFonts w:ascii="Calibri" w:hAnsi="Calibri"/>
                <w:color w:val="000000"/>
              </w:rPr>
            </w:pPr>
            <w:r>
              <w:rPr>
                <w:rFonts w:ascii="Calibri" w:hAnsi="Calibri"/>
                <w:color w:val="000000"/>
              </w:rPr>
              <w:t>£135,000</w:t>
            </w:r>
          </w:p>
        </w:tc>
        <w:tc>
          <w:tcPr>
            <w:tcW w:w="3118" w:type="dxa"/>
            <w:shd w:val="clear" w:color="auto" w:fill="D9D9D9" w:themeFill="background1" w:themeFillShade="D9"/>
          </w:tcPr>
          <w:p w:rsidR="00D07656" w:rsidRDefault="001F1573" w:rsidP="00D07656">
            <w:pPr>
              <w:jc w:val="center"/>
              <w:rPr>
                <w:rFonts w:ascii="Calibri" w:hAnsi="Calibri"/>
                <w:color w:val="000000"/>
              </w:rPr>
            </w:pPr>
            <w:r>
              <w:rPr>
                <w:rFonts w:ascii="Calibri" w:hAnsi="Calibri"/>
                <w:color w:val="000000"/>
              </w:rPr>
              <w:t>£</w:t>
            </w:r>
            <w:r w:rsidR="00D07656">
              <w:rPr>
                <w:rFonts w:ascii="Calibri" w:hAnsi="Calibri"/>
                <w:color w:val="000000"/>
              </w:rPr>
              <w:t>168</w:t>
            </w:r>
            <w:r>
              <w:rPr>
                <w:rFonts w:ascii="Calibri" w:hAnsi="Calibri"/>
                <w:color w:val="000000"/>
              </w:rPr>
              <w:t>,</w:t>
            </w:r>
            <w:r w:rsidR="00D07656">
              <w:rPr>
                <w:rFonts w:ascii="Calibri" w:hAnsi="Calibri"/>
                <w:color w:val="000000"/>
              </w:rPr>
              <w:t>750</w:t>
            </w:r>
          </w:p>
        </w:tc>
        <w:tc>
          <w:tcPr>
            <w:tcW w:w="1985" w:type="dxa"/>
            <w:shd w:val="clear" w:color="auto" w:fill="D9D9D9" w:themeFill="background1" w:themeFillShade="D9"/>
          </w:tcPr>
          <w:p w:rsidR="00D07656" w:rsidRDefault="001F1573" w:rsidP="00D07656">
            <w:pPr>
              <w:jc w:val="center"/>
              <w:rPr>
                <w:rFonts w:ascii="Calibri" w:hAnsi="Calibri"/>
                <w:color w:val="000000"/>
              </w:rPr>
            </w:pPr>
            <w:r>
              <w:rPr>
                <w:rFonts w:ascii="Calibri" w:hAnsi="Calibri"/>
                <w:color w:val="000000"/>
              </w:rPr>
              <w:t>£</w:t>
            </w:r>
            <w:r w:rsidR="00D07656">
              <w:rPr>
                <w:rFonts w:ascii="Calibri" w:hAnsi="Calibri"/>
                <w:color w:val="000000"/>
              </w:rPr>
              <w:t>303</w:t>
            </w:r>
            <w:r>
              <w:rPr>
                <w:rFonts w:ascii="Calibri" w:hAnsi="Calibri"/>
                <w:color w:val="000000"/>
              </w:rPr>
              <w:t>,</w:t>
            </w:r>
            <w:r w:rsidR="00D07656">
              <w:rPr>
                <w:rFonts w:ascii="Calibri" w:hAnsi="Calibri"/>
                <w:color w:val="000000"/>
              </w:rPr>
              <w:t>750</w:t>
            </w:r>
          </w:p>
        </w:tc>
      </w:tr>
    </w:tbl>
    <w:p w:rsidR="00AE553F" w:rsidRDefault="00AE553F">
      <w:pPr>
        <w:rPr>
          <w:rFonts w:ascii="Arial" w:hAnsi="Arial" w:cs="Arial"/>
          <w:sz w:val="24"/>
          <w:szCs w:val="24"/>
        </w:rPr>
      </w:pPr>
    </w:p>
    <w:p w:rsidR="00405D1C" w:rsidRDefault="00405D1C">
      <w:pPr>
        <w:rPr>
          <w:rFonts w:ascii="Arial" w:hAnsi="Arial" w:cs="Arial"/>
          <w:sz w:val="24"/>
          <w:szCs w:val="24"/>
        </w:rPr>
      </w:pPr>
      <w:r>
        <w:rPr>
          <w:rFonts w:ascii="Arial" w:hAnsi="Arial" w:cs="Arial"/>
          <w:sz w:val="24"/>
          <w:szCs w:val="24"/>
        </w:rPr>
        <w:br/>
      </w:r>
    </w:p>
    <w:p w:rsidR="00405D1C" w:rsidRDefault="00405D1C">
      <w:pPr>
        <w:rPr>
          <w:rFonts w:ascii="Arial" w:hAnsi="Arial" w:cs="Arial"/>
          <w:sz w:val="24"/>
          <w:szCs w:val="24"/>
        </w:rPr>
      </w:pPr>
      <w:r>
        <w:rPr>
          <w:rFonts w:ascii="Arial" w:hAnsi="Arial" w:cs="Arial"/>
          <w:sz w:val="24"/>
          <w:szCs w:val="24"/>
        </w:rPr>
        <w:br w:type="page"/>
      </w:r>
    </w:p>
    <w:p w:rsidR="00405D1C" w:rsidRDefault="00405D1C">
      <w:pPr>
        <w:rPr>
          <w:rFonts w:ascii="Arial" w:hAnsi="Arial" w:cs="Arial"/>
          <w:sz w:val="24"/>
          <w:szCs w:val="24"/>
        </w:rPr>
      </w:pPr>
    </w:p>
    <w:p w:rsidR="00405D1C" w:rsidRDefault="00405D1C">
      <w:pPr>
        <w:rPr>
          <w:rFonts w:ascii="Arial" w:hAnsi="Arial" w:cs="Arial"/>
          <w:sz w:val="24"/>
          <w:szCs w:val="24"/>
        </w:rPr>
      </w:pPr>
    </w:p>
    <w:p w:rsidR="00823E85" w:rsidRDefault="00823E85">
      <w:pPr>
        <w:rPr>
          <w:rFonts w:ascii="Arial" w:hAnsi="Arial" w:cs="Arial"/>
          <w:sz w:val="24"/>
          <w:szCs w:val="24"/>
        </w:rPr>
      </w:pPr>
      <w:r>
        <w:rPr>
          <w:rFonts w:ascii="Arial" w:hAnsi="Arial" w:cs="Arial"/>
          <w:sz w:val="24"/>
          <w:szCs w:val="24"/>
        </w:rPr>
        <w:t>Option B</w:t>
      </w:r>
    </w:p>
    <w:p w:rsidR="00405D1C" w:rsidRDefault="00823E85">
      <w:pPr>
        <w:rPr>
          <w:rFonts w:ascii="Arial" w:hAnsi="Arial" w:cs="Arial"/>
          <w:sz w:val="24"/>
          <w:szCs w:val="24"/>
        </w:rPr>
      </w:pPr>
      <w:r>
        <w:rPr>
          <w:rFonts w:ascii="Arial" w:hAnsi="Arial" w:cs="Arial"/>
          <w:sz w:val="24"/>
          <w:szCs w:val="24"/>
        </w:rPr>
        <w:t>An alternative profile could be considered in which the target cohort for the pilot is focussed on those families at</w:t>
      </w:r>
      <w:r w:rsidR="00405D1C">
        <w:rPr>
          <w:rFonts w:ascii="Arial" w:hAnsi="Arial" w:cs="Arial"/>
          <w:sz w:val="24"/>
          <w:szCs w:val="24"/>
        </w:rPr>
        <w:t>tached to the programme in the N</w:t>
      </w:r>
      <w:r>
        <w:rPr>
          <w:rFonts w:ascii="Arial" w:hAnsi="Arial" w:cs="Arial"/>
          <w:sz w:val="24"/>
          <w:szCs w:val="24"/>
        </w:rPr>
        <w:t xml:space="preserve">ursery reach areas, (where CFW/CSC are not currently working with the family) and where at least one child in the family is under 5yrs and attending the nursery settings.  </w:t>
      </w:r>
    </w:p>
    <w:p w:rsidR="00823E85" w:rsidRDefault="00823E85">
      <w:pPr>
        <w:rPr>
          <w:rFonts w:ascii="Arial" w:hAnsi="Arial" w:cs="Arial"/>
          <w:sz w:val="24"/>
          <w:szCs w:val="24"/>
        </w:rPr>
      </w:pPr>
      <w:r>
        <w:rPr>
          <w:rFonts w:ascii="Arial" w:hAnsi="Arial" w:cs="Arial"/>
          <w:sz w:val="24"/>
          <w:szCs w:val="24"/>
        </w:rPr>
        <w:t>This limits the number worked with and would not yield signif</w:t>
      </w:r>
      <w:r w:rsidR="00405D1C">
        <w:rPr>
          <w:rFonts w:ascii="Arial" w:hAnsi="Arial" w:cs="Arial"/>
          <w:sz w:val="24"/>
          <w:szCs w:val="24"/>
        </w:rPr>
        <w:t>icant income potential for the N</w:t>
      </w:r>
      <w:r>
        <w:rPr>
          <w:rFonts w:ascii="Arial" w:hAnsi="Arial" w:cs="Arial"/>
          <w:sz w:val="24"/>
          <w:szCs w:val="24"/>
        </w:rPr>
        <w:t xml:space="preserve">urseries in the pilot, but would form a </w:t>
      </w:r>
      <w:r w:rsidR="00405D1C">
        <w:rPr>
          <w:rFonts w:ascii="Arial" w:hAnsi="Arial" w:cs="Arial"/>
          <w:sz w:val="24"/>
          <w:szCs w:val="24"/>
        </w:rPr>
        <w:t>more accessible cohort for the N</w:t>
      </w:r>
      <w:r>
        <w:rPr>
          <w:rFonts w:ascii="Arial" w:hAnsi="Arial" w:cs="Arial"/>
          <w:sz w:val="24"/>
          <w:szCs w:val="24"/>
        </w:rPr>
        <w:t>urseries to work with as they would know the family already, whereas in the substantive proposal above, the familie</w:t>
      </w:r>
      <w:r w:rsidR="00405D1C">
        <w:rPr>
          <w:rFonts w:ascii="Arial" w:hAnsi="Arial" w:cs="Arial"/>
          <w:sz w:val="24"/>
          <w:szCs w:val="24"/>
        </w:rPr>
        <w:t>s may well not be known to the N</w:t>
      </w:r>
      <w:r>
        <w:rPr>
          <w:rFonts w:ascii="Arial" w:hAnsi="Arial" w:cs="Arial"/>
          <w:sz w:val="24"/>
          <w:szCs w:val="24"/>
        </w:rPr>
        <w:t>ursery at all.</w:t>
      </w:r>
    </w:p>
    <w:p w:rsidR="00823E85" w:rsidRDefault="00823E85">
      <w:pPr>
        <w:rPr>
          <w:rFonts w:ascii="Arial" w:hAnsi="Arial" w:cs="Arial"/>
          <w:sz w:val="24"/>
          <w:szCs w:val="24"/>
        </w:rPr>
      </w:pPr>
      <w:r>
        <w:rPr>
          <w:rFonts w:ascii="Arial" w:hAnsi="Arial" w:cs="Arial"/>
          <w:sz w:val="24"/>
          <w:szCs w:val="24"/>
        </w:rPr>
        <w:t xml:space="preserve">The profile for this alternative pilot proposal would be as follows;  </w:t>
      </w:r>
    </w:p>
    <w:p w:rsidR="00405D1C" w:rsidRDefault="00405D1C">
      <w:pPr>
        <w:rPr>
          <w:rFonts w:ascii="Arial" w:hAnsi="Arial" w:cs="Arial"/>
          <w:sz w:val="24"/>
          <w:szCs w:val="24"/>
        </w:rPr>
      </w:pPr>
    </w:p>
    <w:p w:rsidR="00405D1C" w:rsidRDefault="00405D1C">
      <w:pP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2269"/>
        <w:gridCol w:w="1985"/>
        <w:gridCol w:w="1701"/>
        <w:gridCol w:w="3118"/>
        <w:gridCol w:w="1985"/>
      </w:tblGrid>
      <w:tr w:rsidR="00D07656" w:rsidTr="00D07656">
        <w:tc>
          <w:tcPr>
            <w:tcW w:w="2269" w:type="dxa"/>
            <w:shd w:val="clear" w:color="auto" w:fill="BFBFBF" w:themeFill="background1" w:themeFillShade="BF"/>
          </w:tcPr>
          <w:p w:rsidR="00D07656" w:rsidRDefault="00D07656" w:rsidP="00D07656">
            <w:pPr>
              <w:pStyle w:val="ListParagraph"/>
              <w:ind w:left="0"/>
              <w:rPr>
                <w:rFonts w:ascii="Arial" w:hAnsi="Arial" w:cs="Arial"/>
              </w:rPr>
            </w:pPr>
            <w:r>
              <w:rPr>
                <w:rFonts w:ascii="Arial" w:hAnsi="Arial" w:cs="Arial"/>
              </w:rPr>
              <w:t>Nursery Pilot Site</w:t>
            </w:r>
          </w:p>
          <w:p w:rsidR="00D07656" w:rsidRDefault="00D07656" w:rsidP="00D07656">
            <w:pPr>
              <w:pStyle w:val="ListParagraph"/>
              <w:ind w:left="0"/>
              <w:rPr>
                <w:rFonts w:ascii="Arial" w:hAnsi="Arial" w:cs="Arial"/>
              </w:rPr>
            </w:pPr>
          </w:p>
        </w:tc>
        <w:tc>
          <w:tcPr>
            <w:tcW w:w="1985" w:type="dxa"/>
            <w:shd w:val="clear" w:color="auto" w:fill="BFBFBF" w:themeFill="background1" w:themeFillShade="BF"/>
          </w:tcPr>
          <w:p w:rsidR="00D07656" w:rsidRDefault="00D07656" w:rsidP="00D07656">
            <w:pPr>
              <w:pStyle w:val="ListParagraph"/>
              <w:ind w:left="0"/>
              <w:rPr>
                <w:rFonts w:ascii="Arial" w:hAnsi="Arial" w:cs="Arial"/>
              </w:rPr>
            </w:pPr>
            <w:r>
              <w:rPr>
                <w:rFonts w:ascii="Arial" w:hAnsi="Arial" w:cs="Arial"/>
              </w:rPr>
              <w:t>Number of allocated 'TF Attached' families</w:t>
            </w:r>
          </w:p>
        </w:tc>
        <w:tc>
          <w:tcPr>
            <w:tcW w:w="1701" w:type="dxa"/>
            <w:shd w:val="clear" w:color="auto" w:fill="BFBFBF" w:themeFill="background1" w:themeFillShade="BF"/>
          </w:tcPr>
          <w:p w:rsidR="00D07656" w:rsidRDefault="00D07656" w:rsidP="00D07656">
            <w:pPr>
              <w:pStyle w:val="ListParagraph"/>
              <w:ind w:left="0"/>
              <w:rPr>
                <w:rFonts w:ascii="Arial" w:hAnsi="Arial" w:cs="Arial"/>
              </w:rPr>
            </w:pPr>
            <w:r>
              <w:rPr>
                <w:rFonts w:ascii="Arial" w:hAnsi="Arial" w:cs="Arial"/>
              </w:rPr>
              <w:t xml:space="preserve">Initial funding allocation for attachment </w:t>
            </w:r>
          </w:p>
        </w:tc>
        <w:tc>
          <w:tcPr>
            <w:tcW w:w="3118" w:type="dxa"/>
            <w:shd w:val="clear" w:color="auto" w:fill="BFBFBF" w:themeFill="background1" w:themeFillShade="BF"/>
          </w:tcPr>
          <w:p w:rsidR="00D07656" w:rsidRDefault="00D07656" w:rsidP="00D07656">
            <w:pPr>
              <w:pStyle w:val="ListParagraph"/>
              <w:ind w:left="0"/>
              <w:rPr>
                <w:rFonts w:ascii="Arial" w:hAnsi="Arial" w:cs="Arial"/>
              </w:rPr>
            </w:pPr>
            <w:r>
              <w:rPr>
                <w:rFonts w:ascii="Arial" w:hAnsi="Arial" w:cs="Arial"/>
              </w:rPr>
              <w:t>Potential Subsequent funding allocation for PBR (assuming 100% compliance)</w:t>
            </w:r>
          </w:p>
        </w:tc>
        <w:tc>
          <w:tcPr>
            <w:tcW w:w="1985" w:type="dxa"/>
            <w:shd w:val="clear" w:color="auto" w:fill="BFBFBF" w:themeFill="background1" w:themeFillShade="BF"/>
          </w:tcPr>
          <w:p w:rsidR="00D07656" w:rsidRDefault="00D07656" w:rsidP="00D07656">
            <w:pPr>
              <w:pStyle w:val="ListParagraph"/>
              <w:ind w:left="0"/>
              <w:rPr>
                <w:rFonts w:ascii="Arial" w:hAnsi="Arial" w:cs="Arial"/>
              </w:rPr>
            </w:pPr>
            <w:r>
              <w:rPr>
                <w:rFonts w:ascii="Arial" w:hAnsi="Arial" w:cs="Arial"/>
              </w:rPr>
              <w:t>Total funding available</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Appletree</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4</w:t>
            </w:r>
          </w:p>
        </w:tc>
        <w:tc>
          <w:tcPr>
            <w:tcW w:w="1701" w:type="dxa"/>
          </w:tcPr>
          <w:p w:rsidR="00D07656" w:rsidRDefault="00D07656" w:rsidP="00D07656">
            <w:pPr>
              <w:jc w:val="center"/>
              <w:rPr>
                <w:rFonts w:ascii="Calibri" w:hAnsi="Calibri"/>
                <w:color w:val="000000"/>
              </w:rPr>
            </w:pPr>
            <w:r>
              <w:rPr>
                <w:rFonts w:ascii="Calibri" w:hAnsi="Calibri"/>
                <w:color w:val="000000"/>
              </w:rPr>
              <w:t>£2,400</w:t>
            </w:r>
          </w:p>
        </w:tc>
        <w:tc>
          <w:tcPr>
            <w:tcW w:w="3118" w:type="dxa"/>
          </w:tcPr>
          <w:p w:rsidR="00D07656" w:rsidRDefault="00D07656" w:rsidP="00D07656">
            <w:pPr>
              <w:jc w:val="center"/>
              <w:rPr>
                <w:rFonts w:ascii="Calibri" w:hAnsi="Calibri"/>
                <w:color w:val="000000"/>
              </w:rPr>
            </w:pPr>
            <w:r>
              <w:rPr>
                <w:rFonts w:ascii="Calibri" w:hAnsi="Calibri"/>
                <w:color w:val="000000"/>
              </w:rPr>
              <w:t>£3,000</w:t>
            </w:r>
          </w:p>
        </w:tc>
        <w:tc>
          <w:tcPr>
            <w:tcW w:w="1985" w:type="dxa"/>
          </w:tcPr>
          <w:p w:rsidR="00D07656" w:rsidRDefault="00D07656" w:rsidP="00D07656">
            <w:pPr>
              <w:jc w:val="center"/>
              <w:rPr>
                <w:rFonts w:ascii="Calibri" w:hAnsi="Calibri"/>
                <w:color w:val="000000"/>
              </w:rPr>
            </w:pPr>
            <w:r>
              <w:rPr>
                <w:rFonts w:ascii="Calibri" w:hAnsi="Calibri"/>
                <w:color w:val="000000"/>
              </w:rPr>
              <w:t>£5,400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Duke Street</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7</w:t>
            </w:r>
          </w:p>
        </w:tc>
        <w:tc>
          <w:tcPr>
            <w:tcW w:w="1701" w:type="dxa"/>
          </w:tcPr>
          <w:p w:rsidR="00D07656" w:rsidRDefault="00D07656" w:rsidP="00D07656">
            <w:pPr>
              <w:jc w:val="center"/>
              <w:rPr>
                <w:rFonts w:ascii="Calibri" w:hAnsi="Calibri"/>
                <w:color w:val="000000"/>
              </w:rPr>
            </w:pPr>
            <w:r>
              <w:rPr>
                <w:rFonts w:ascii="Calibri" w:hAnsi="Calibri"/>
                <w:color w:val="000000"/>
              </w:rPr>
              <w:t>£4,200</w:t>
            </w:r>
          </w:p>
        </w:tc>
        <w:tc>
          <w:tcPr>
            <w:tcW w:w="3118" w:type="dxa"/>
          </w:tcPr>
          <w:p w:rsidR="00D07656" w:rsidRDefault="00D07656" w:rsidP="00D07656">
            <w:pPr>
              <w:jc w:val="center"/>
              <w:rPr>
                <w:rFonts w:ascii="Calibri" w:hAnsi="Calibri"/>
                <w:color w:val="000000"/>
              </w:rPr>
            </w:pPr>
            <w:r>
              <w:rPr>
                <w:rFonts w:ascii="Calibri" w:hAnsi="Calibri"/>
                <w:color w:val="000000"/>
              </w:rPr>
              <w:t>£5,250</w:t>
            </w:r>
          </w:p>
        </w:tc>
        <w:tc>
          <w:tcPr>
            <w:tcW w:w="1985" w:type="dxa"/>
          </w:tcPr>
          <w:p w:rsidR="00D07656" w:rsidRDefault="00D07656" w:rsidP="00D07656">
            <w:pPr>
              <w:jc w:val="center"/>
              <w:rPr>
                <w:rFonts w:ascii="Calibri" w:hAnsi="Calibri"/>
                <w:color w:val="000000"/>
              </w:rPr>
            </w:pPr>
            <w:r>
              <w:rPr>
                <w:rFonts w:ascii="Calibri" w:hAnsi="Calibri"/>
                <w:color w:val="000000"/>
              </w:rPr>
              <w:t>£9,450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Fairfield</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3</w:t>
            </w:r>
          </w:p>
        </w:tc>
        <w:tc>
          <w:tcPr>
            <w:tcW w:w="1701" w:type="dxa"/>
          </w:tcPr>
          <w:p w:rsidR="00D07656" w:rsidRDefault="00D07656" w:rsidP="00D07656">
            <w:pPr>
              <w:jc w:val="center"/>
              <w:rPr>
                <w:rFonts w:ascii="Calibri" w:hAnsi="Calibri"/>
                <w:color w:val="000000"/>
              </w:rPr>
            </w:pPr>
            <w:r>
              <w:rPr>
                <w:rFonts w:ascii="Calibri" w:hAnsi="Calibri"/>
                <w:color w:val="000000"/>
              </w:rPr>
              <w:t>£1,800</w:t>
            </w:r>
          </w:p>
        </w:tc>
        <w:tc>
          <w:tcPr>
            <w:tcW w:w="3118" w:type="dxa"/>
          </w:tcPr>
          <w:p w:rsidR="00D07656" w:rsidRDefault="00D07656" w:rsidP="00D07656">
            <w:pPr>
              <w:jc w:val="center"/>
              <w:rPr>
                <w:rFonts w:ascii="Calibri" w:hAnsi="Calibri"/>
                <w:color w:val="000000"/>
              </w:rPr>
            </w:pPr>
            <w:r>
              <w:rPr>
                <w:rFonts w:ascii="Calibri" w:hAnsi="Calibri"/>
                <w:color w:val="000000"/>
              </w:rPr>
              <w:t>£2,250</w:t>
            </w:r>
          </w:p>
        </w:tc>
        <w:tc>
          <w:tcPr>
            <w:tcW w:w="1985" w:type="dxa"/>
          </w:tcPr>
          <w:p w:rsidR="00D07656" w:rsidRDefault="00D07656" w:rsidP="00D07656">
            <w:pPr>
              <w:jc w:val="center"/>
              <w:rPr>
                <w:rFonts w:ascii="Calibri" w:hAnsi="Calibri"/>
                <w:color w:val="000000"/>
              </w:rPr>
            </w:pPr>
            <w:r>
              <w:rPr>
                <w:rFonts w:ascii="Calibri" w:hAnsi="Calibri"/>
                <w:color w:val="000000"/>
              </w:rPr>
              <w:t>£4,050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Ribblesdale</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2</w:t>
            </w:r>
          </w:p>
        </w:tc>
        <w:tc>
          <w:tcPr>
            <w:tcW w:w="1701" w:type="dxa"/>
          </w:tcPr>
          <w:p w:rsidR="00D07656" w:rsidRDefault="00D07656" w:rsidP="00D07656">
            <w:pPr>
              <w:jc w:val="center"/>
              <w:rPr>
                <w:rFonts w:ascii="Calibri" w:hAnsi="Calibri"/>
                <w:color w:val="000000"/>
              </w:rPr>
            </w:pPr>
            <w:r>
              <w:rPr>
                <w:rFonts w:ascii="Calibri" w:hAnsi="Calibri"/>
                <w:color w:val="000000"/>
              </w:rPr>
              <w:t>£1,200</w:t>
            </w:r>
          </w:p>
        </w:tc>
        <w:tc>
          <w:tcPr>
            <w:tcW w:w="3118" w:type="dxa"/>
          </w:tcPr>
          <w:p w:rsidR="00D07656" w:rsidRDefault="00D07656" w:rsidP="00D07656">
            <w:pPr>
              <w:jc w:val="center"/>
              <w:rPr>
                <w:rFonts w:ascii="Calibri" w:hAnsi="Calibri"/>
                <w:color w:val="000000"/>
              </w:rPr>
            </w:pPr>
            <w:r>
              <w:rPr>
                <w:rFonts w:ascii="Calibri" w:hAnsi="Calibri"/>
                <w:color w:val="000000"/>
              </w:rPr>
              <w:t>£1,500</w:t>
            </w:r>
          </w:p>
        </w:tc>
        <w:tc>
          <w:tcPr>
            <w:tcW w:w="1985" w:type="dxa"/>
          </w:tcPr>
          <w:p w:rsidR="00D07656" w:rsidRDefault="00D07656" w:rsidP="00D07656">
            <w:pPr>
              <w:jc w:val="center"/>
              <w:rPr>
                <w:rFonts w:ascii="Calibri" w:hAnsi="Calibri"/>
                <w:color w:val="000000"/>
              </w:rPr>
            </w:pPr>
            <w:r>
              <w:rPr>
                <w:rFonts w:ascii="Calibri" w:hAnsi="Calibri"/>
                <w:color w:val="000000"/>
              </w:rPr>
              <w:t>£2,700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Stoneygate</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8</w:t>
            </w:r>
          </w:p>
        </w:tc>
        <w:tc>
          <w:tcPr>
            <w:tcW w:w="1701" w:type="dxa"/>
          </w:tcPr>
          <w:p w:rsidR="00D07656" w:rsidRDefault="00D07656" w:rsidP="00D07656">
            <w:pPr>
              <w:jc w:val="center"/>
              <w:rPr>
                <w:rFonts w:ascii="Calibri" w:hAnsi="Calibri"/>
                <w:color w:val="000000"/>
              </w:rPr>
            </w:pPr>
            <w:r>
              <w:rPr>
                <w:rFonts w:ascii="Calibri" w:hAnsi="Calibri"/>
                <w:color w:val="000000"/>
              </w:rPr>
              <w:t>£4,800</w:t>
            </w:r>
          </w:p>
        </w:tc>
        <w:tc>
          <w:tcPr>
            <w:tcW w:w="3118" w:type="dxa"/>
          </w:tcPr>
          <w:p w:rsidR="00D07656" w:rsidRDefault="00D07656" w:rsidP="00D07656">
            <w:pPr>
              <w:jc w:val="center"/>
              <w:rPr>
                <w:rFonts w:ascii="Calibri" w:hAnsi="Calibri"/>
                <w:color w:val="000000"/>
              </w:rPr>
            </w:pPr>
            <w:r>
              <w:rPr>
                <w:rFonts w:ascii="Calibri" w:hAnsi="Calibri"/>
                <w:color w:val="000000"/>
              </w:rPr>
              <w:t>£6,000</w:t>
            </w:r>
          </w:p>
        </w:tc>
        <w:tc>
          <w:tcPr>
            <w:tcW w:w="1985" w:type="dxa"/>
          </w:tcPr>
          <w:p w:rsidR="00D07656" w:rsidRDefault="00D07656" w:rsidP="00D07656">
            <w:pPr>
              <w:jc w:val="center"/>
              <w:rPr>
                <w:rFonts w:ascii="Calibri" w:hAnsi="Calibri"/>
                <w:color w:val="000000"/>
              </w:rPr>
            </w:pPr>
            <w:r>
              <w:rPr>
                <w:rFonts w:ascii="Calibri" w:hAnsi="Calibri"/>
                <w:color w:val="000000"/>
              </w:rPr>
              <w:t>£10,800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Walton Lane</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2</w:t>
            </w:r>
          </w:p>
        </w:tc>
        <w:tc>
          <w:tcPr>
            <w:tcW w:w="1701" w:type="dxa"/>
          </w:tcPr>
          <w:p w:rsidR="00D07656" w:rsidRDefault="00D07656" w:rsidP="00D07656">
            <w:pPr>
              <w:jc w:val="center"/>
              <w:rPr>
                <w:rFonts w:ascii="Calibri" w:hAnsi="Calibri"/>
                <w:color w:val="000000"/>
              </w:rPr>
            </w:pPr>
            <w:r>
              <w:rPr>
                <w:rFonts w:ascii="Calibri" w:hAnsi="Calibri"/>
                <w:color w:val="000000"/>
              </w:rPr>
              <w:t>£1,200</w:t>
            </w:r>
          </w:p>
        </w:tc>
        <w:tc>
          <w:tcPr>
            <w:tcW w:w="3118" w:type="dxa"/>
          </w:tcPr>
          <w:p w:rsidR="00D07656" w:rsidRDefault="00D07656" w:rsidP="00D07656">
            <w:pPr>
              <w:jc w:val="center"/>
              <w:rPr>
                <w:rFonts w:ascii="Calibri" w:hAnsi="Calibri"/>
                <w:color w:val="000000"/>
              </w:rPr>
            </w:pPr>
            <w:r>
              <w:rPr>
                <w:rFonts w:ascii="Calibri" w:hAnsi="Calibri"/>
                <w:color w:val="000000"/>
              </w:rPr>
              <w:t>£1,500</w:t>
            </w:r>
          </w:p>
        </w:tc>
        <w:tc>
          <w:tcPr>
            <w:tcW w:w="1985" w:type="dxa"/>
          </w:tcPr>
          <w:p w:rsidR="00D07656" w:rsidRDefault="00D07656" w:rsidP="00D07656">
            <w:pPr>
              <w:jc w:val="center"/>
              <w:rPr>
                <w:rFonts w:ascii="Calibri" w:hAnsi="Calibri"/>
                <w:color w:val="000000"/>
              </w:rPr>
            </w:pPr>
            <w:r>
              <w:rPr>
                <w:rFonts w:ascii="Calibri" w:hAnsi="Calibri"/>
                <w:color w:val="000000"/>
              </w:rPr>
              <w:t>£2,700</w:t>
            </w:r>
          </w:p>
        </w:tc>
      </w:tr>
      <w:tr w:rsidR="00D07656" w:rsidTr="00D07656">
        <w:tc>
          <w:tcPr>
            <w:tcW w:w="2269" w:type="dxa"/>
            <w:shd w:val="clear" w:color="auto" w:fill="F2F2F2" w:themeFill="background1" w:themeFillShade="F2"/>
            <w:vAlign w:val="bottom"/>
          </w:tcPr>
          <w:p w:rsidR="00D07656" w:rsidRDefault="00D07656" w:rsidP="00D07656">
            <w:pPr>
              <w:rPr>
                <w:b/>
                <w:color w:val="000000"/>
                <w:lang w:eastAsia="en-GB"/>
              </w:rPr>
            </w:pPr>
            <w:r w:rsidRPr="005D56D9">
              <w:rPr>
                <w:b/>
                <w:color w:val="000000"/>
                <w:lang w:eastAsia="en-GB"/>
              </w:rPr>
              <w:t>Whitegate</w:t>
            </w:r>
          </w:p>
          <w:p w:rsidR="00D07656" w:rsidRPr="005D56D9" w:rsidRDefault="00D07656" w:rsidP="00D07656">
            <w:pPr>
              <w:rPr>
                <w:b/>
                <w:color w:val="000000"/>
                <w:lang w:eastAsia="en-GB"/>
              </w:rPr>
            </w:pPr>
          </w:p>
        </w:tc>
        <w:tc>
          <w:tcPr>
            <w:tcW w:w="1985" w:type="dxa"/>
          </w:tcPr>
          <w:p w:rsidR="00D07656" w:rsidRDefault="00D07656" w:rsidP="00D07656">
            <w:pPr>
              <w:jc w:val="center"/>
              <w:rPr>
                <w:color w:val="000000"/>
              </w:rPr>
            </w:pPr>
            <w:r>
              <w:rPr>
                <w:color w:val="000000"/>
              </w:rPr>
              <w:t>2</w:t>
            </w:r>
          </w:p>
        </w:tc>
        <w:tc>
          <w:tcPr>
            <w:tcW w:w="1701" w:type="dxa"/>
          </w:tcPr>
          <w:p w:rsidR="00D07656" w:rsidRDefault="00D07656" w:rsidP="00D07656">
            <w:pPr>
              <w:jc w:val="center"/>
              <w:rPr>
                <w:rFonts w:ascii="Calibri" w:hAnsi="Calibri"/>
                <w:color w:val="000000"/>
              </w:rPr>
            </w:pPr>
            <w:r>
              <w:rPr>
                <w:rFonts w:ascii="Calibri" w:hAnsi="Calibri"/>
                <w:color w:val="000000"/>
              </w:rPr>
              <w:t>£1,200</w:t>
            </w:r>
          </w:p>
        </w:tc>
        <w:tc>
          <w:tcPr>
            <w:tcW w:w="3118" w:type="dxa"/>
          </w:tcPr>
          <w:p w:rsidR="00D07656" w:rsidRDefault="00D07656" w:rsidP="00D07656">
            <w:pPr>
              <w:jc w:val="center"/>
              <w:rPr>
                <w:rFonts w:ascii="Calibri" w:hAnsi="Calibri"/>
                <w:color w:val="000000"/>
              </w:rPr>
            </w:pPr>
            <w:r>
              <w:rPr>
                <w:rFonts w:ascii="Calibri" w:hAnsi="Calibri"/>
                <w:color w:val="000000"/>
              </w:rPr>
              <w:t>£1,500</w:t>
            </w:r>
          </w:p>
        </w:tc>
        <w:tc>
          <w:tcPr>
            <w:tcW w:w="1985" w:type="dxa"/>
          </w:tcPr>
          <w:p w:rsidR="00D07656" w:rsidRDefault="00D07656" w:rsidP="00D07656">
            <w:pPr>
              <w:jc w:val="center"/>
              <w:rPr>
                <w:rFonts w:ascii="Calibri" w:hAnsi="Calibri"/>
                <w:color w:val="000000"/>
              </w:rPr>
            </w:pPr>
            <w:r>
              <w:rPr>
                <w:rFonts w:ascii="Calibri" w:hAnsi="Calibri"/>
                <w:color w:val="000000"/>
              </w:rPr>
              <w:t>£2,700</w:t>
            </w:r>
          </w:p>
        </w:tc>
      </w:tr>
      <w:tr w:rsidR="00D07656" w:rsidTr="00D07656">
        <w:tc>
          <w:tcPr>
            <w:tcW w:w="2269" w:type="dxa"/>
            <w:shd w:val="clear" w:color="auto" w:fill="D9D9D9" w:themeFill="background1" w:themeFillShade="D9"/>
            <w:vAlign w:val="bottom"/>
          </w:tcPr>
          <w:p w:rsidR="00D07656" w:rsidRPr="005D56D9" w:rsidRDefault="00D07656" w:rsidP="00D07656">
            <w:pPr>
              <w:rPr>
                <w:b/>
                <w:color w:val="000000"/>
                <w:lang w:eastAsia="en-GB"/>
              </w:rPr>
            </w:pPr>
            <w:r>
              <w:rPr>
                <w:b/>
                <w:color w:val="000000"/>
                <w:lang w:eastAsia="en-GB"/>
              </w:rPr>
              <w:t>TOTALS</w:t>
            </w:r>
          </w:p>
        </w:tc>
        <w:tc>
          <w:tcPr>
            <w:tcW w:w="1985" w:type="dxa"/>
            <w:shd w:val="clear" w:color="auto" w:fill="D9D9D9" w:themeFill="background1" w:themeFillShade="D9"/>
          </w:tcPr>
          <w:p w:rsidR="00D07656" w:rsidRDefault="00D07656" w:rsidP="00D07656">
            <w:pPr>
              <w:jc w:val="center"/>
              <w:rPr>
                <w:b/>
                <w:bCs/>
                <w:color w:val="000000"/>
              </w:rPr>
            </w:pPr>
            <w:r>
              <w:rPr>
                <w:b/>
                <w:bCs/>
                <w:color w:val="000000"/>
              </w:rPr>
              <w:t>28</w:t>
            </w:r>
          </w:p>
        </w:tc>
        <w:tc>
          <w:tcPr>
            <w:tcW w:w="1701" w:type="dxa"/>
            <w:shd w:val="clear" w:color="auto" w:fill="D9D9D9" w:themeFill="background1" w:themeFillShade="D9"/>
          </w:tcPr>
          <w:p w:rsidR="00D07656" w:rsidRDefault="00D07656" w:rsidP="00D07656">
            <w:pPr>
              <w:jc w:val="center"/>
              <w:rPr>
                <w:rFonts w:ascii="Calibri" w:hAnsi="Calibri"/>
                <w:color w:val="000000"/>
              </w:rPr>
            </w:pPr>
            <w:r>
              <w:rPr>
                <w:rFonts w:ascii="Calibri" w:hAnsi="Calibri"/>
                <w:color w:val="000000"/>
              </w:rPr>
              <w:t>£16,800</w:t>
            </w:r>
          </w:p>
        </w:tc>
        <w:tc>
          <w:tcPr>
            <w:tcW w:w="3118" w:type="dxa"/>
            <w:shd w:val="clear" w:color="auto" w:fill="D9D9D9" w:themeFill="background1" w:themeFillShade="D9"/>
          </w:tcPr>
          <w:p w:rsidR="00D07656" w:rsidRDefault="00D07656" w:rsidP="00D07656">
            <w:pPr>
              <w:jc w:val="center"/>
              <w:rPr>
                <w:rFonts w:ascii="Calibri" w:hAnsi="Calibri"/>
                <w:color w:val="000000"/>
              </w:rPr>
            </w:pPr>
            <w:r>
              <w:rPr>
                <w:rFonts w:ascii="Calibri" w:hAnsi="Calibri"/>
                <w:color w:val="000000"/>
              </w:rPr>
              <w:t>£21,000</w:t>
            </w:r>
          </w:p>
        </w:tc>
        <w:tc>
          <w:tcPr>
            <w:tcW w:w="1985" w:type="dxa"/>
            <w:shd w:val="clear" w:color="auto" w:fill="D9D9D9" w:themeFill="background1" w:themeFillShade="D9"/>
          </w:tcPr>
          <w:p w:rsidR="00D07656" w:rsidRDefault="00D07656" w:rsidP="00D07656">
            <w:pPr>
              <w:jc w:val="center"/>
              <w:rPr>
                <w:rFonts w:ascii="Calibri" w:hAnsi="Calibri"/>
                <w:color w:val="000000"/>
              </w:rPr>
            </w:pPr>
            <w:r>
              <w:rPr>
                <w:rFonts w:ascii="Calibri" w:hAnsi="Calibri"/>
                <w:color w:val="000000"/>
              </w:rPr>
              <w:t>£37,800</w:t>
            </w:r>
          </w:p>
        </w:tc>
      </w:tr>
    </w:tbl>
    <w:p w:rsidR="00405D1C" w:rsidRDefault="00405D1C">
      <w:pPr>
        <w:rPr>
          <w:rFonts w:ascii="Arial" w:hAnsi="Arial" w:cs="Arial"/>
          <w:sz w:val="24"/>
          <w:szCs w:val="24"/>
        </w:rPr>
      </w:pPr>
      <w:r>
        <w:rPr>
          <w:rFonts w:ascii="Arial" w:hAnsi="Arial" w:cs="Arial"/>
          <w:sz w:val="24"/>
          <w:szCs w:val="24"/>
        </w:rPr>
        <w:br/>
      </w:r>
    </w:p>
    <w:p w:rsidR="00405D1C" w:rsidRDefault="00405D1C">
      <w:pPr>
        <w:rPr>
          <w:rFonts w:ascii="Arial" w:hAnsi="Arial" w:cs="Arial"/>
          <w:sz w:val="24"/>
          <w:szCs w:val="24"/>
        </w:rPr>
      </w:pPr>
      <w:r>
        <w:rPr>
          <w:rFonts w:ascii="Arial" w:hAnsi="Arial" w:cs="Arial"/>
          <w:sz w:val="24"/>
          <w:szCs w:val="24"/>
        </w:rPr>
        <w:br w:type="page"/>
      </w:r>
    </w:p>
    <w:p w:rsidR="00D07656" w:rsidRDefault="00D07656">
      <w:pPr>
        <w:rPr>
          <w:rFonts w:ascii="Arial" w:hAnsi="Arial" w:cs="Arial"/>
          <w:sz w:val="24"/>
          <w:szCs w:val="24"/>
        </w:rPr>
      </w:pPr>
    </w:p>
    <w:p w:rsidR="00405D1C" w:rsidRDefault="00405D1C">
      <w:pPr>
        <w:rPr>
          <w:rFonts w:ascii="Arial" w:hAnsi="Arial" w:cs="Arial"/>
          <w:sz w:val="24"/>
          <w:szCs w:val="24"/>
        </w:rPr>
      </w:pPr>
    </w:p>
    <w:p w:rsidR="00405D1C" w:rsidRDefault="00405D1C">
      <w:pPr>
        <w:rPr>
          <w:rFonts w:ascii="Arial" w:hAnsi="Arial" w:cs="Arial"/>
          <w:sz w:val="24"/>
          <w:szCs w:val="24"/>
        </w:rPr>
      </w:pPr>
    </w:p>
    <w:p w:rsidR="00AE553F" w:rsidRDefault="00AE553F" w:rsidP="00AE553F">
      <w:pPr>
        <w:rPr>
          <w:rFonts w:ascii="Arial" w:hAnsi="Arial" w:cs="Arial"/>
          <w:sz w:val="24"/>
          <w:szCs w:val="24"/>
        </w:rPr>
      </w:pPr>
      <w:r>
        <w:rPr>
          <w:rFonts w:ascii="Arial" w:hAnsi="Arial" w:cs="Arial"/>
          <w:sz w:val="24"/>
          <w:szCs w:val="24"/>
        </w:rPr>
        <w:t>Appendix 1</w:t>
      </w:r>
    </w:p>
    <w:tbl>
      <w:tblPr>
        <w:tblW w:w="6047" w:type="pct"/>
        <w:tblInd w:w="-851" w:type="dxa"/>
        <w:tblLayout w:type="fixed"/>
        <w:tblCellMar>
          <w:left w:w="0" w:type="dxa"/>
          <w:right w:w="0" w:type="dxa"/>
        </w:tblCellMar>
        <w:tblLook w:val="04A0" w:firstRow="1" w:lastRow="0" w:firstColumn="1" w:lastColumn="0" w:noHBand="0" w:noVBand="1"/>
      </w:tblPr>
      <w:tblGrid>
        <w:gridCol w:w="1706"/>
        <w:gridCol w:w="710"/>
        <w:gridCol w:w="707"/>
        <w:gridCol w:w="851"/>
        <w:gridCol w:w="851"/>
        <w:gridCol w:w="849"/>
        <w:gridCol w:w="819"/>
        <w:gridCol w:w="882"/>
        <w:gridCol w:w="851"/>
        <w:gridCol w:w="854"/>
        <w:gridCol w:w="849"/>
        <w:gridCol w:w="987"/>
      </w:tblGrid>
      <w:tr w:rsidR="00AE553F" w:rsidTr="00AE553F">
        <w:trPr>
          <w:trHeight w:val="319"/>
        </w:trPr>
        <w:tc>
          <w:tcPr>
            <w:tcW w:w="781" w:type="pct"/>
            <w:vMerge w:val="restart"/>
            <w:shd w:val="clear" w:color="auto" w:fill="DDEBF7"/>
            <w:noWrap/>
            <w:tcMar>
              <w:top w:w="0" w:type="dxa"/>
              <w:left w:w="108" w:type="dxa"/>
              <w:bottom w:w="0" w:type="dxa"/>
              <w:right w:w="108" w:type="dxa"/>
            </w:tcMar>
          </w:tcPr>
          <w:p w:rsidR="00AE553F" w:rsidRDefault="00AE553F" w:rsidP="00AE553F">
            <w:pPr>
              <w:rPr>
                <w:rFonts w:ascii="Calibri" w:hAnsi="Calibri"/>
                <w:b/>
                <w:bCs/>
                <w:color w:val="000000"/>
                <w:lang w:eastAsia="en-GB"/>
              </w:rPr>
            </w:pPr>
            <w:r>
              <w:rPr>
                <w:b/>
                <w:bCs/>
                <w:color w:val="000000"/>
                <w:lang w:eastAsia="en-GB"/>
              </w:rPr>
              <w:t>TFU Families    (with Under 5s)   by Nursery Reach worked with by CFW/CSC</w:t>
            </w:r>
          </w:p>
        </w:tc>
        <w:tc>
          <w:tcPr>
            <w:tcW w:w="4219" w:type="pct"/>
            <w:gridSpan w:val="11"/>
            <w:tcBorders>
              <w:top w:val="nil"/>
              <w:bottom w:val="single" w:sz="8" w:space="0" w:color="9BC2E6"/>
              <w:right w:val="nil"/>
            </w:tcBorders>
            <w:shd w:val="clear" w:color="auto" w:fill="DDEBF7"/>
            <w:noWrap/>
            <w:tcMar>
              <w:top w:w="0" w:type="dxa"/>
              <w:left w:w="108" w:type="dxa"/>
              <w:bottom w:w="0" w:type="dxa"/>
              <w:right w:w="108" w:type="dxa"/>
            </w:tcMar>
          </w:tcPr>
          <w:p w:rsidR="00AE553F" w:rsidRPr="00AE553F" w:rsidRDefault="00AE553F" w:rsidP="00AE553F">
            <w:pPr>
              <w:rPr>
                <w:b/>
                <w:bCs/>
                <w:color w:val="000000"/>
                <w:sz w:val="18"/>
                <w:szCs w:val="18"/>
                <w:lang w:eastAsia="en-GB"/>
              </w:rPr>
            </w:pPr>
            <w:r>
              <w:rPr>
                <w:b/>
                <w:bCs/>
                <w:color w:val="000000"/>
                <w:lang w:eastAsia="en-GB"/>
              </w:rPr>
              <w:t>IMD Deciles</w:t>
            </w:r>
          </w:p>
        </w:tc>
      </w:tr>
      <w:tr w:rsidR="00AE553F" w:rsidTr="00AE553F">
        <w:trPr>
          <w:trHeight w:val="703"/>
        </w:trPr>
        <w:tc>
          <w:tcPr>
            <w:tcW w:w="781" w:type="pct"/>
            <w:vMerge/>
            <w:tcBorders>
              <w:bottom w:val="single" w:sz="8" w:space="0" w:color="9BC2E6"/>
            </w:tcBorders>
            <w:shd w:val="clear" w:color="auto" w:fill="DDEBF7"/>
            <w:noWrap/>
            <w:tcMar>
              <w:top w:w="0" w:type="dxa"/>
              <w:left w:w="108" w:type="dxa"/>
              <w:bottom w:w="0" w:type="dxa"/>
              <w:right w:w="108" w:type="dxa"/>
            </w:tcMar>
            <w:vAlign w:val="bottom"/>
            <w:hideMark/>
          </w:tcPr>
          <w:p w:rsidR="00AE553F" w:rsidRDefault="00AE553F">
            <w:pPr>
              <w:rPr>
                <w:rFonts w:ascii="Calibri" w:hAnsi="Calibri"/>
                <w:b/>
                <w:bCs/>
                <w:color w:val="000000"/>
                <w:lang w:eastAsia="en-GB"/>
              </w:rPr>
            </w:pPr>
          </w:p>
        </w:tc>
        <w:tc>
          <w:tcPr>
            <w:tcW w:w="325" w:type="pct"/>
            <w:tcBorders>
              <w:top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0-10</w:t>
            </w:r>
          </w:p>
        </w:tc>
        <w:tc>
          <w:tcPr>
            <w:tcW w:w="324"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10-20</w:t>
            </w:r>
          </w:p>
        </w:tc>
        <w:tc>
          <w:tcPr>
            <w:tcW w:w="390"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20-30</w:t>
            </w:r>
          </w:p>
        </w:tc>
        <w:tc>
          <w:tcPr>
            <w:tcW w:w="390"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30-40</w:t>
            </w:r>
          </w:p>
        </w:tc>
        <w:tc>
          <w:tcPr>
            <w:tcW w:w="389"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40-50</w:t>
            </w:r>
          </w:p>
        </w:tc>
        <w:tc>
          <w:tcPr>
            <w:tcW w:w="375"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50-60</w:t>
            </w:r>
          </w:p>
        </w:tc>
        <w:tc>
          <w:tcPr>
            <w:tcW w:w="404"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60-70</w:t>
            </w:r>
          </w:p>
        </w:tc>
        <w:tc>
          <w:tcPr>
            <w:tcW w:w="390"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70-80</w:t>
            </w:r>
          </w:p>
        </w:tc>
        <w:tc>
          <w:tcPr>
            <w:tcW w:w="391"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80-90</w:t>
            </w:r>
          </w:p>
        </w:tc>
        <w:tc>
          <w:tcPr>
            <w:tcW w:w="389"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90-100</w:t>
            </w:r>
          </w:p>
        </w:tc>
        <w:tc>
          <w:tcPr>
            <w:tcW w:w="452"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AE553F">
            <w:pPr>
              <w:rPr>
                <w:b/>
                <w:bCs/>
                <w:color w:val="000000"/>
                <w:sz w:val="18"/>
                <w:szCs w:val="18"/>
                <w:lang w:eastAsia="en-GB"/>
              </w:rPr>
            </w:pPr>
            <w:r w:rsidRPr="00AE553F">
              <w:rPr>
                <w:b/>
                <w:bCs/>
                <w:color w:val="000000"/>
                <w:sz w:val="18"/>
                <w:szCs w:val="18"/>
                <w:lang w:eastAsia="en-GB"/>
              </w:rPr>
              <w:t>Grand Total</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Appletree</w:t>
            </w:r>
          </w:p>
        </w:tc>
        <w:tc>
          <w:tcPr>
            <w:tcW w:w="325" w:type="pct"/>
            <w:noWrap/>
            <w:tcMar>
              <w:top w:w="0" w:type="dxa"/>
              <w:left w:w="108" w:type="dxa"/>
              <w:bottom w:w="0" w:type="dxa"/>
              <w:right w:w="108" w:type="dxa"/>
            </w:tcMar>
            <w:vAlign w:val="bottom"/>
            <w:hideMark/>
          </w:tcPr>
          <w:p w:rsidR="00AE553F" w:rsidRDefault="00AE553F">
            <w:pPr>
              <w:rPr>
                <w:color w:val="000000"/>
                <w:lang w:eastAsia="en-GB"/>
              </w:rPr>
            </w:pPr>
          </w:p>
        </w:tc>
        <w:tc>
          <w:tcPr>
            <w:tcW w:w="324"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18</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4</w:t>
            </w:r>
          </w:p>
        </w:tc>
        <w:tc>
          <w:tcPr>
            <w:tcW w:w="389"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18</w:t>
            </w:r>
          </w:p>
        </w:tc>
        <w:tc>
          <w:tcPr>
            <w:tcW w:w="375"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11</w:t>
            </w:r>
          </w:p>
        </w:tc>
        <w:tc>
          <w:tcPr>
            <w:tcW w:w="404" w:type="pct"/>
            <w:noWrap/>
            <w:tcMar>
              <w:top w:w="0" w:type="dxa"/>
              <w:left w:w="108" w:type="dxa"/>
              <w:bottom w:w="0" w:type="dxa"/>
              <w:right w:w="108" w:type="dxa"/>
            </w:tcMar>
            <w:vAlign w:val="bottom"/>
            <w:hideMark/>
          </w:tcPr>
          <w:p w:rsidR="00AE553F" w:rsidRDefault="00AE553F">
            <w:pPr>
              <w:rPr>
                <w:color w:val="000000"/>
                <w:lang w:eastAsia="en-GB"/>
              </w:rPr>
            </w:pPr>
          </w:p>
        </w:tc>
        <w:tc>
          <w:tcPr>
            <w:tcW w:w="390"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3</w:t>
            </w:r>
          </w:p>
        </w:tc>
        <w:tc>
          <w:tcPr>
            <w:tcW w:w="452"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54</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Duke Street</w:t>
            </w:r>
          </w:p>
        </w:tc>
        <w:tc>
          <w:tcPr>
            <w:tcW w:w="325"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58</w:t>
            </w:r>
          </w:p>
        </w:tc>
        <w:tc>
          <w:tcPr>
            <w:tcW w:w="324" w:type="pct"/>
            <w:noWrap/>
            <w:tcMar>
              <w:top w:w="0" w:type="dxa"/>
              <w:left w:w="108" w:type="dxa"/>
              <w:bottom w:w="0" w:type="dxa"/>
              <w:right w:w="108" w:type="dxa"/>
            </w:tcMar>
            <w:vAlign w:val="bottom"/>
            <w:hideMark/>
          </w:tcPr>
          <w:p w:rsidR="00AE553F" w:rsidRDefault="00AE553F">
            <w:pPr>
              <w:rPr>
                <w:color w:val="000000"/>
                <w:lang w:eastAsia="en-GB"/>
              </w:rPr>
            </w:pPr>
          </w:p>
        </w:tc>
        <w:tc>
          <w:tcPr>
            <w:tcW w:w="390"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34</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25</w:t>
            </w:r>
          </w:p>
        </w:tc>
        <w:tc>
          <w:tcPr>
            <w:tcW w:w="389" w:type="pct"/>
            <w:noWrap/>
            <w:tcMar>
              <w:top w:w="0" w:type="dxa"/>
              <w:left w:w="108" w:type="dxa"/>
              <w:bottom w:w="0" w:type="dxa"/>
              <w:right w:w="108" w:type="dxa"/>
            </w:tcMar>
            <w:vAlign w:val="bottom"/>
            <w:hideMark/>
          </w:tcPr>
          <w:p w:rsidR="00AE553F" w:rsidRDefault="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7</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6</w:t>
            </w:r>
          </w:p>
        </w:tc>
        <w:tc>
          <w:tcPr>
            <w:tcW w:w="391"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2</w:t>
            </w:r>
          </w:p>
        </w:tc>
        <w:tc>
          <w:tcPr>
            <w:tcW w:w="389" w:type="pct"/>
            <w:noWrap/>
            <w:tcMar>
              <w:top w:w="0" w:type="dxa"/>
              <w:left w:w="108" w:type="dxa"/>
              <w:bottom w:w="0" w:type="dxa"/>
              <w:right w:w="108" w:type="dxa"/>
            </w:tcMar>
            <w:vAlign w:val="bottom"/>
            <w:hideMark/>
          </w:tcPr>
          <w:p w:rsidR="00AE553F" w:rsidRDefault="00AE553F">
            <w:pPr>
              <w:rPr>
                <w:color w:val="000000"/>
                <w:lang w:eastAsia="en-GB"/>
              </w:rPr>
            </w:pPr>
          </w:p>
        </w:tc>
        <w:tc>
          <w:tcPr>
            <w:tcW w:w="452"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132</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Fairfield</w:t>
            </w:r>
          </w:p>
        </w:tc>
        <w:tc>
          <w:tcPr>
            <w:tcW w:w="325"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24</w:t>
            </w:r>
          </w:p>
        </w:tc>
        <w:tc>
          <w:tcPr>
            <w:tcW w:w="324"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19</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8</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10</w:t>
            </w:r>
          </w:p>
        </w:tc>
        <w:tc>
          <w:tcPr>
            <w:tcW w:w="389"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w:t>
            </w:r>
          </w:p>
        </w:tc>
        <w:tc>
          <w:tcPr>
            <w:tcW w:w="375" w:type="pct"/>
            <w:noWrap/>
            <w:tcMar>
              <w:top w:w="0" w:type="dxa"/>
              <w:left w:w="108" w:type="dxa"/>
              <w:bottom w:w="0" w:type="dxa"/>
              <w:right w:w="108" w:type="dxa"/>
            </w:tcMar>
            <w:vAlign w:val="bottom"/>
            <w:hideMark/>
          </w:tcPr>
          <w:p w:rsidR="00AE553F" w:rsidRDefault="00AE553F">
            <w:pPr>
              <w:rPr>
                <w:color w:val="000000"/>
                <w:lang w:eastAsia="en-GB"/>
              </w:rPr>
            </w:pPr>
          </w:p>
        </w:tc>
        <w:tc>
          <w:tcPr>
            <w:tcW w:w="404"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1</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7</w:t>
            </w:r>
          </w:p>
        </w:tc>
        <w:tc>
          <w:tcPr>
            <w:tcW w:w="391" w:type="pct"/>
            <w:noWrap/>
            <w:tcMar>
              <w:top w:w="0" w:type="dxa"/>
              <w:left w:w="108" w:type="dxa"/>
              <w:bottom w:w="0" w:type="dxa"/>
              <w:right w:w="108" w:type="dxa"/>
            </w:tcMar>
            <w:vAlign w:val="bottom"/>
            <w:hideMark/>
          </w:tcPr>
          <w:p w:rsidR="00AE553F" w:rsidRDefault="00AE553F">
            <w:pPr>
              <w:rPr>
                <w:color w:val="000000"/>
                <w:lang w:eastAsia="en-GB"/>
              </w:rPr>
            </w:pPr>
          </w:p>
        </w:tc>
        <w:tc>
          <w:tcPr>
            <w:tcW w:w="389"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70</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Ribblesdale</w:t>
            </w:r>
          </w:p>
        </w:tc>
        <w:tc>
          <w:tcPr>
            <w:tcW w:w="325" w:type="pct"/>
            <w:noWrap/>
            <w:tcMar>
              <w:top w:w="0" w:type="dxa"/>
              <w:left w:w="108" w:type="dxa"/>
              <w:bottom w:w="0" w:type="dxa"/>
              <w:right w:w="108" w:type="dxa"/>
            </w:tcMar>
            <w:vAlign w:val="bottom"/>
            <w:hideMark/>
          </w:tcPr>
          <w:p w:rsidR="00AE553F" w:rsidRDefault="00AE553F">
            <w:pPr>
              <w:rPr>
                <w:color w:val="000000"/>
                <w:lang w:eastAsia="en-GB"/>
              </w:rPr>
            </w:pPr>
          </w:p>
        </w:tc>
        <w:tc>
          <w:tcPr>
            <w:tcW w:w="324"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7</w:t>
            </w:r>
          </w:p>
        </w:tc>
        <w:tc>
          <w:tcPr>
            <w:tcW w:w="389" w:type="pct"/>
            <w:noWrap/>
            <w:tcMar>
              <w:top w:w="0" w:type="dxa"/>
              <w:left w:w="108" w:type="dxa"/>
              <w:bottom w:w="0" w:type="dxa"/>
              <w:right w:w="108" w:type="dxa"/>
            </w:tcMar>
            <w:vAlign w:val="bottom"/>
            <w:hideMark/>
          </w:tcPr>
          <w:p w:rsidR="00AE553F" w:rsidRDefault="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17</w:t>
            </w:r>
          </w:p>
        </w:tc>
        <w:tc>
          <w:tcPr>
            <w:tcW w:w="404"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11</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10</w:t>
            </w:r>
          </w:p>
        </w:tc>
        <w:tc>
          <w:tcPr>
            <w:tcW w:w="391"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3</w:t>
            </w:r>
          </w:p>
        </w:tc>
        <w:tc>
          <w:tcPr>
            <w:tcW w:w="389"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2</w:t>
            </w:r>
          </w:p>
        </w:tc>
        <w:tc>
          <w:tcPr>
            <w:tcW w:w="452"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50</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Stoneygate</w:t>
            </w:r>
          </w:p>
        </w:tc>
        <w:tc>
          <w:tcPr>
            <w:tcW w:w="325"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50</w:t>
            </w:r>
          </w:p>
        </w:tc>
        <w:tc>
          <w:tcPr>
            <w:tcW w:w="324"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26</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13</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7</w:t>
            </w:r>
          </w:p>
        </w:tc>
        <w:tc>
          <w:tcPr>
            <w:tcW w:w="389" w:type="pct"/>
            <w:noWrap/>
            <w:tcMar>
              <w:top w:w="0" w:type="dxa"/>
              <w:left w:w="108" w:type="dxa"/>
              <w:bottom w:w="0" w:type="dxa"/>
              <w:right w:w="108" w:type="dxa"/>
            </w:tcMar>
            <w:vAlign w:val="bottom"/>
            <w:hideMark/>
          </w:tcPr>
          <w:p w:rsidR="00AE553F" w:rsidRDefault="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96</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Walton Lane</w:t>
            </w:r>
          </w:p>
        </w:tc>
        <w:tc>
          <w:tcPr>
            <w:tcW w:w="325"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38</w:t>
            </w:r>
          </w:p>
        </w:tc>
        <w:tc>
          <w:tcPr>
            <w:tcW w:w="324" w:type="pct"/>
            <w:noWrap/>
            <w:tcMar>
              <w:top w:w="0" w:type="dxa"/>
              <w:left w:w="108" w:type="dxa"/>
              <w:bottom w:w="0" w:type="dxa"/>
              <w:right w:w="108" w:type="dxa"/>
            </w:tcMar>
            <w:vAlign w:val="bottom"/>
            <w:hideMark/>
          </w:tcPr>
          <w:p w:rsidR="00AE553F" w:rsidRDefault="00AE553F">
            <w:pPr>
              <w:rPr>
                <w:color w:val="000000"/>
                <w:lang w:eastAsia="en-GB"/>
              </w:rPr>
            </w:pPr>
          </w:p>
        </w:tc>
        <w:tc>
          <w:tcPr>
            <w:tcW w:w="390"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12</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15</w:t>
            </w:r>
          </w:p>
        </w:tc>
        <w:tc>
          <w:tcPr>
            <w:tcW w:w="389" w:type="pct"/>
            <w:noWrap/>
            <w:tcMar>
              <w:top w:w="0" w:type="dxa"/>
              <w:left w:w="108" w:type="dxa"/>
              <w:bottom w:w="0" w:type="dxa"/>
              <w:right w:w="108" w:type="dxa"/>
            </w:tcMar>
            <w:vAlign w:val="bottom"/>
            <w:hideMark/>
          </w:tcPr>
          <w:p w:rsidR="00AE553F" w:rsidRDefault="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65</w:t>
            </w:r>
          </w:p>
        </w:tc>
      </w:tr>
      <w:tr w:rsidR="00AE553F" w:rsidTr="00AE553F">
        <w:trPr>
          <w:trHeight w:val="300"/>
        </w:trPr>
        <w:tc>
          <w:tcPr>
            <w:tcW w:w="781" w:type="pct"/>
            <w:noWrap/>
            <w:tcMar>
              <w:top w:w="0" w:type="dxa"/>
              <w:left w:w="108" w:type="dxa"/>
              <w:bottom w:w="0" w:type="dxa"/>
              <w:right w:w="108" w:type="dxa"/>
            </w:tcMar>
            <w:vAlign w:val="bottom"/>
            <w:hideMark/>
          </w:tcPr>
          <w:p w:rsidR="00AE553F" w:rsidRDefault="00AE553F">
            <w:pPr>
              <w:rPr>
                <w:color w:val="000000"/>
                <w:lang w:eastAsia="en-GB"/>
              </w:rPr>
            </w:pPr>
            <w:r>
              <w:rPr>
                <w:color w:val="000000"/>
                <w:lang w:eastAsia="en-GB"/>
              </w:rPr>
              <w:t>Whitegate</w:t>
            </w:r>
          </w:p>
        </w:tc>
        <w:tc>
          <w:tcPr>
            <w:tcW w:w="325"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13</w:t>
            </w:r>
          </w:p>
        </w:tc>
        <w:tc>
          <w:tcPr>
            <w:tcW w:w="324"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45</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16</w:t>
            </w:r>
          </w:p>
        </w:tc>
        <w:tc>
          <w:tcPr>
            <w:tcW w:w="390" w:type="pct"/>
            <w:noWrap/>
            <w:tcMar>
              <w:top w:w="0" w:type="dxa"/>
              <w:left w:w="108" w:type="dxa"/>
              <w:bottom w:w="0" w:type="dxa"/>
              <w:right w:w="108" w:type="dxa"/>
            </w:tcMar>
            <w:vAlign w:val="bottom"/>
            <w:hideMark/>
          </w:tcPr>
          <w:p w:rsidR="00AE553F" w:rsidRDefault="00AE553F">
            <w:pPr>
              <w:jc w:val="center"/>
              <w:rPr>
                <w:color w:val="000000"/>
                <w:lang w:eastAsia="en-GB"/>
              </w:rPr>
            </w:pPr>
            <w:r>
              <w:rPr>
                <w:color w:val="000000"/>
                <w:lang w:eastAsia="en-GB"/>
              </w:rPr>
              <w:t>3</w:t>
            </w:r>
          </w:p>
        </w:tc>
        <w:tc>
          <w:tcPr>
            <w:tcW w:w="389" w:type="pct"/>
            <w:noWrap/>
            <w:tcMar>
              <w:top w:w="0" w:type="dxa"/>
              <w:left w:w="108" w:type="dxa"/>
              <w:bottom w:w="0" w:type="dxa"/>
              <w:right w:w="108" w:type="dxa"/>
            </w:tcMar>
            <w:vAlign w:val="bottom"/>
            <w:hideMark/>
          </w:tcPr>
          <w:p w:rsidR="00AE553F" w:rsidRDefault="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pPr>
              <w:jc w:val="center"/>
              <w:rPr>
                <w:rFonts w:ascii="Calibri" w:hAnsi="Calibri"/>
                <w:color w:val="000000"/>
                <w:lang w:eastAsia="en-GB"/>
              </w:rPr>
            </w:pPr>
            <w:r>
              <w:rPr>
                <w:color w:val="000000"/>
                <w:lang w:eastAsia="en-GB"/>
              </w:rPr>
              <w:t>77</w:t>
            </w:r>
          </w:p>
        </w:tc>
      </w:tr>
    </w:tbl>
    <w:p w:rsidR="00AE553F" w:rsidRDefault="00AE553F" w:rsidP="00AE553F">
      <w:pPr>
        <w:rPr>
          <w:rFonts w:ascii="Arial" w:hAnsi="Arial" w:cs="Arial"/>
          <w:sz w:val="24"/>
          <w:szCs w:val="24"/>
        </w:rPr>
      </w:pPr>
    </w:p>
    <w:tbl>
      <w:tblPr>
        <w:tblW w:w="6047" w:type="pct"/>
        <w:tblInd w:w="-851" w:type="dxa"/>
        <w:tblLayout w:type="fixed"/>
        <w:tblCellMar>
          <w:left w:w="0" w:type="dxa"/>
          <w:right w:w="0" w:type="dxa"/>
        </w:tblCellMar>
        <w:tblLook w:val="04A0" w:firstRow="1" w:lastRow="0" w:firstColumn="1" w:lastColumn="0" w:noHBand="0" w:noVBand="1"/>
      </w:tblPr>
      <w:tblGrid>
        <w:gridCol w:w="1706"/>
        <w:gridCol w:w="710"/>
        <w:gridCol w:w="707"/>
        <w:gridCol w:w="851"/>
        <w:gridCol w:w="851"/>
        <w:gridCol w:w="849"/>
        <w:gridCol w:w="819"/>
        <w:gridCol w:w="882"/>
        <w:gridCol w:w="851"/>
        <w:gridCol w:w="854"/>
        <w:gridCol w:w="849"/>
        <w:gridCol w:w="987"/>
      </w:tblGrid>
      <w:tr w:rsidR="00AE553F" w:rsidRPr="00AE553F" w:rsidTr="00D07656">
        <w:trPr>
          <w:trHeight w:val="319"/>
        </w:trPr>
        <w:tc>
          <w:tcPr>
            <w:tcW w:w="781" w:type="pct"/>
            <w:vMerge w:val="restart"/>
            <w:shd w:val="clear" w:color="auto" w:fill="DDEBF7"/>
            <w:noWrap/>
            <w:tcMar>
              <w:top w:w="0" w:type="dxa"/>
              <w:left w:w="108" w:type="dxa"/>
              <w:bottom w:w="0" w:type="dxa"/>
              <w:right w:w="108" w:type="dxa"/>
            </w:tcMar>
          </w:tcPr>
          <w:p w:rsidR="00AE553F" w:rsidRDefault="00AE553F" w:rsidP="00AE553F">
            <w:pPr>
              <w:rPr>
                <w:rFonts w:ascii="Calibri" w:hAnsi="Calibri"/>
                <w:b/>
                <w:bCs/>
                <w:color w:val="000000"/>
                <w:lang w:eastAsia="en-GB"/>
              </w:rPr>
            </w:pPr>
            <w:r>
              <w:rPr>
                <w:b/>
                <w:bCs/>
                <w:color w:val="000000"/>
                <w:lang w:eastAsia="en-GB"/>
              </w:rPr>
              <w:t>TFU Families    (with Under 5s)   by Nursery Reach  not allocated to  CFW/CSC</w:t>
            </w:r>
          </w:p>
        </w:tc>
        <w:tc>
          <w:tcPr>
            <w:tcW w:w="4219" w:type="pct"/>
            <w:gridSpan w:val="11"/>
            <w:tcBorders>
              <w:top w:val="nil"/>
              <w:bottom w:val="single" w:sz="8" w:space="0" w:color="9BC2E6"/>
              <w:right w:val="nil"/>
            </w:tcBorders>
            <w:shd w:val="clear" w:color="auto" w:fill="DDEBF7"/>
            <w:noWrap/>
            <w:tcMar>
              <w:top w:w="0" w:type="dxa"/>
              <w:left w:w="108" w:type="dxa"/>
              <w:bottom w:w="0" w:type="dxa"/>
              <w:right w:w="108" w:type="dxa"/>
            </w:tcMar>
          </w:tcPr>
          <w:p w:rsidR="00AE553F" w:rsidRPr="00AE553F" w:rsidRDefault="00AE553F" w:rsidP="00D07656">
            <w:pPr>
              <w:rPr>
                <w:b/>
                <w:bCs/>
                <w:color w:val="000000"/>
                <w:sz w:val="18"/>
                <w:szCs w:val="18"/>
                <w:lang w:eastAsia="en-GB"/>
              </w:rPr>
            </w:pPr>
            <w:r>
              <w:rPr>
                <w:b/>
                <w:bCs/>
                <w:color w:val="000000"/>
                <w:lang w:eastAsia="en-GB"/>
              </w:rPr>
              <w:t>IMD Deciles</w:t>
            </w:r>
          </w:p>
        </w:tc>
      </w:tr>
      <w:tr w:rsidR="00AE553F" w:rsidRPr="00AE553F" w:rsidTr="00D07656">
        <w:trPr>
          <w:trHeight w:val="703"/>
        </w:trPr>
        <w:tc>
          <w:tcPr>
            <w:tcW w:w="781" w:type="pct"/>
            <w:vMerge/>
            <w:tcBorders>
              <w:bottom w:val="single" w:sz="8" w:space="0" w:color="9BC2E6"/>
            </w:tcBorders>
            <w:shd w:val="clear" w:color="auto" w:fill="DDEBF7"/>
            <w:noWrap/>
            <w:tcMar>
              <w:top w:w="0" w:type="dxa"/>
              <w:left w:w="108" w:type="dxa"/>
              <w:bottom w:w="0" w:type="dxa"/>
              <w:right w:w="108" w:type="dxa"/>
            </w:tcMar>
            <w:vAlign w:val="bottom"/>
            <w:hideMark/>
          </w:tcPr>
          <w:p w:rsidR="00AE553F" w:rsidRDefault="00AE553F" w:rsidP="00D07656">
            <w:pPr>
              <w:rPr>
                <w:rFonts w:ascii="Calibri" w:hAnsi="Calibri"/>
                <w:b/>
                <w:bCs/>
                <w:color w:val="000000"/>
                <w:lang w:eastAsia="en-GB"/>
              </w:rPr>
            </w:pPr>
          </w:p>
        </w:tc>
        <w:tc>
          <w:tcPr>
            <w:tcW w:w="325" w:type="pct"/>
            <w:tcBorders>
              <w:top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0-10</w:t>
            </w:r>
          </w:p>
        </w:tc>
        <w:tc>
          <w:tcPr>
            <w:tcW w:w="324"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10-20</w:t>
            </w:r>
          </w:p>
        </w:tc>
        <w:tc>
          <w:tcPr>
            <w:tcW w:w="390"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20-30</w:t>
            </w:r>
          </w:p>
        </w:tc>
        <w:tc>
          <w:tcPr>
            <w:tcW w:w="390"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30-40</w:t>
            </w:r>
          </w:p>
        </w:tc>
        <w:tc>
          <w:tcPr>
            <w:tcW w:w="389"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40-50</w:t>
            </w:r>
          </w:p>
        </w:tc>
        <w:tc>
          <w:tcPr>
            <w:tcW w:w="375"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50-60</w:t>
            </w:r>
          </w:p>
        </w:tc>
        <w:tc>
          <w:tcPr>
            <w:tcW w:w="404"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60-70</w:t>
            </w:r>
          </w:p>
        </w:tc>
        <w:tc>
          <w:tcPr>
            <w:tcW w:w="390"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70-80</w:t>
            </w:r>
          </w:p>
        </w:tc>
        <w:tc>
          <w:tcPr>
            <w:tcW w:w="391"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80-90</w:t>
            </w:r>
          </w:p>
        </w:tc>
        <w:tc>
          <w:tcPr>
            <w:tcW w:w="389"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90-100</w:t>
            </w:r>
          </w:p>
        </w:tc>
        <w:tc>
          <w:tcPr>
            <w:tcW w:w="452" w:type="pct"/>
            <w:tcBorders>
              <w:top w:val="nil"/>
              <w:left w:val="nil"/>
              <w:bottom w:val="single" w:sz="8" w:space="0" w:color="9BC2E6"/>
              <w:right w:val="nil"/>
            </w:tcBorders>
            <w:shd w:val="clear" w:color="auto" w:fill="DDEBF7"/>
            <w:noWrap/>
            <w:tcMar>
              <w:top w:w="0" w:type="dxa"/>
              <w:left w:w="108" w:type="dxa"/>
              <w:bottom w:w="0" w:type="dxa"/>
              <w:right w:w="108" w:type="dxa"/>
            </w:tcMar>
            <w:hideMark/>
          </w:tcPr>
          <w:p w:rsidR="00AE553F" w:rsidRPr="00AE553F" w:rsidRDefault="00AE553F" w:rsidP="00D07656">
            <w:pPr>
              <w:rPr>
                <w:b/>
                <w:bCs/>
                <w:color w:val="000000"/>
                <w:sz w:val="18"/>
                <w:szCs w:val="18"/>
                <w:lang w:eastAsia="en-GB"/>
              </w:rPr>
            </w:pPr>
            <w:r w:rsidRPr="00AE553F">
              <w:rPr>
                <w:b/>
                <w:bCs/>
                <w:color w:val="000000"/>
                <w:sz w:val="18"/>
                <w:szCs w:val="18"/>
                <w:lang w:eastAsia="en-GB"/>
              </w:rPr>
              <w:t>Grand Total</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Appletree</w:t>
            </w:r>
          </w:p>
        </w:tc>
        <w:tc>
          <w:tcPr>
            <w:tcW w:w="325"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24"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7</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2</w:t>
            </w:r>
          </w:p>
        </w:tc>
        <w:tc>
          <w:tcPr>
            <w:tcW w:w="389"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6</w:t>
            </w:r>
          </w:p>
        </w:tc>
        <w:tc>
          <w:tcPr>
            <w:tcW w:w="375"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5</w:t>
            </w:r>
          </w:p>
        </w:tc>
        <w:tc>
          <w:tcPr>
            <w:tcW w:w="404"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w:t>
            </w:r>
          </w:p>
        </w:tc>
        <w:tc>
          <w:tcPr>
            <w:tcW w:w="390"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91"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3</w:t>
            </w:r>
          </w:p>
        </w:tc>
        <w:tc>
          <w:tcPr>
            <w:tcW w:w="452"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24</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Duke Street</w:t>
            </w:r>
          </w:p>
        </w:tc>
        <w:tc>
          <w:tcPr>
            <w:tcW w:w="325"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14</w:t>
            </w:r>
          </w:p>
        </w:tc>
        <w:tc>
          <w:tcPr>
            <w:tcW w:w="324"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90"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5</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13</w:t>
            </w:r>
          </w:p>
        </w:tc>
        <w:tc>
          <w:tcPr>
            <w:tcW w:w="389"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6</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9</w:t>
            </w:r>
          </w:p>
        </w:tc>
        <w:tc>
          <w:tcPr>
            <w:tcW w:w="391"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0</w:t>
            </w:r>
          </w:p>
        </w:tc>
        <w:tc>
          <w:tcPr>
            <w:tcW w:w="389"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452"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47</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Fairfield</w:t>
            </w:r>
          </w:p>
        </w:tc>
        <w:tc>
          <w:tcPr>
            <w:tcW w:w="325"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12</w:t>
            </w:r>
          </w:p>
        </w:tc>
        <w:tc>
          <w:tcPr>
            <w:tcW w:w="324"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8</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4</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4</w:t>
            </w:r>
          </w:p>
        </w:tc>
        <w:tc>
          <w:tcPr>
            <w:tcW w:w="389"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1</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7</w:t>
            </w:r>
          </w:p>
        </w:tc>
        <w:tc>
          <w:tcPr>
            <w:tcW w:w="391"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89"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36</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Ribblesdale</w:t>
            </w:r>
          </w:p>
        </w:tc>
        <w:tc>
          <w:tcPr>
            <w:tcW w:w="325"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24"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1</w:t>
            </w:r>
          </w:p>
        </w:tc>
        <w:tc>
          <w:tcPr>
            <w:tcW w:w="389"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11</w:t>
            </w:r>
          </w:p>
        </w:tc>
        <w:tc>
          <w:tcPr>
            <w:tcW w:w="404"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3</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3</w:t>
            </w:r>
          </w:p>
        </w:tc>
        <w:tc>
          <w:tcPr>
            <w:tcW w:w="391"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89"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1</w:t>
            </w:r>
          </w:p>
        </w:tc>
        <w:tc>
          <w:tcPr>
            <w:tcW w:w="452"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19</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Stoneygate</w:t>
            </w:r>
          </w:p>
        </w:tc>
        <w:tc>
          <w:tcPr>
            <w:tcW w:w="325"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20</w:t>
            </w:r>
          </w:p>
        </w:tc>
        <w:tc>
          <w:tcPr>
            <w:tcW w:w="324"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11</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8</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10</w:t>
            </w:r>
          </w:p>
        </w:tc>
        <w:tc>
          <w:tcPr>
            <w:tcW w:w="389"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49</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Walton Lane</w:t>
            </w:r>
          </w:p>
        </w:tc>
        <w:tc>
          <w:tcPr>
            <w:tcW w:w="325"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16</w:t>
            </w:r>
          </w:p>
        </w:tc>
        <w:tc>
          <w:tcPr>
            <w:tcW w:w="324"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90"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11</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5</w:t>
            </w:r>
          </w:p>
        </w:tc>
        <w:tc>
          <w:tcPr>
            <w:tcW w:w="389"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75"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32</w:t>
            </w:r>
          </w:p>
        </w:tc>
      </w:tr>
      <w:tr w:rsidR="00AE553F" w:rsidTr="00D07656">
        <w:trPr>
          <w:trHeight w:val="300"/>
        </w:trPr>
        <w:tc>
          <w:tcPr>
            <w:tcW w:w="781" w:type="pct"/>
            <w:noWrap/>
            <w:tcMar>
              <w:top w:w="0" w:type="dxa"/>
              <w:left w:w="108" w:type="dxa"/>
              <w:bottom w:w="0" w:type="dxa"/>
              <w:right w:w="108" w:type="dxa"/>
            </w:tcMar>
            <w:vAlign w:val="bottom"/>
            <w:hideMark/>
          </w:tcPr>
          <w:p w:rsidR="00AE553F" w:rsidRDefault="00AE553F" w:rsidP="00AE553F">
            <w:pPr>
              <w:rPr>
                <w:color w:val="000000"/>
                <w:lang w:eastAsia="en-GB"/>
              </w:rPr>
            </w:pPr>
            <w:r>
              <w:rPr>
                <w:color w:val="000000"/>
                <w:lang w:eastAsia="en-GB"/>
              </w:rPr>
              <w:t>Whitegate</w:t>
            </w:r>
          </w:p>
        </w:tc>
        <w:tc>
          <w:tcPr>
            <w:tcW w:w="325"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8</w:t>
            </w:r>
          </w:p>
        </w:tc>
        <w:tc>
          <w:tcPr>
            <w:tcW w:w="324"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6</w:t>
            </w:r>
          </w:p>
        </w:tc>
        <w:tc>
          <w:tcPr>
            <w:tcW w:w="390" w:type="pct"/>
            <w:noWrap/>
            <w:tcMar>
              <w:top w:w="0" w:type="dxa"/>
              <w:left w:w="108" w:type="dxa"/>
              <w:bottom w:w="0" w:type="dxa"/>
              <w:right w:w="108" w:type="dxa"/>
            </w:tcMar>
            <w:vAlign w:val="bottom"/>
            <w:hideMark/>
          </w:tcPr>
          <w:p w:rsidR="00AE553F" w:rsidRDefault="00AE553F" w:rsidP="00AE553F">
            <w:pPr>
              <w:jc w:val="center"/>
              <w:rPr>
                <w:color w:val="000000"/>
                <w:lang w:eastAsia="en-GB"/>
              </w:rPr>
            </w:pPr>
            <w:r>
              <w:rPr>
                <w:color w:val="000000"/>
                <w:lang w:eastAsia="en-GB"/>
              </w:rPr>
              <w:t>4</w:t>
            </w:r>
          </w:p>
        </w:tc>
        <w:tc>
          <w:tcPr>
            <w:tcW w:w="390" w:type="pct"/>
            <w:noWrap/>
            <w:tcMar>
              <w:top w:w="0" w:type="dxa"/>
              <w:left w:w="108" w:type="dxa"/>
              <w:bottom w:w="0" w:type="dxa"/>
              <w:right w:w="108" w:type="dxa"/>
            </w:tcMar>
            <w:vAlign w:val="bottom"/>
            <w:hideMark/>
          </w:tcPr>
          <w:p w:rsidR="00AE553F" w:rsidRDefault="00AE553F" w:rsidP="00AE553F">
            <w:pPr>
              <w:rPr>
                <w:color w:val="000000"/>
                <w:lang w:eastAsia="en-GB"/>
              </w:rPr>
            </w:pPr>
          </w:p>
        </w:tc>
        <w:tc>
          <w:tcPr>
            <w:tcW w:w="389"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75"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04"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0"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91"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389" w:type="pct"/>
            <w:noWrap/>
            <w:tcMar>
              <w:top w:w="0" w:type="dxa"/>
              <w:left w:w="108" w:type="dxa"/>
              <w:bottom w:w="0" w:type="dxa"/>
              <w:right w:w="108" w:type="dxa"/>
            </w:tcMar>
            <w:vAlign w:val="bottom"/>
            <w:hideMark/>
          </w:tcPr>
          <w:p w:rsidR="00AE553F" w:rsidRDefault="00AE553F" w:rsidP="00AE553F">
            <w:pPr>
              <w:rPr>
                <w:rFonts w:ascii="Times New Roman" w:eastAsia="Times New Roman" w:hAnsi="Times New Roman"/>
                <w:sz w:val="20"/>
                <w:szCs w:val="20"/>
                <w:lang w:eastAsia="en-GB"/>
              </w:rPr>
            </w:pPr>
          </w:p>
        </w:tc>
        <w:tc>
          <w:tcPr>
            <w:tcW w:w="452" w:type="pct"/>
            <w:noWrap/>
            <w:tcMar>
              <w:top w:w="0" w:type="dxa"/>
              <w:left w:w="108" w:type="dxa"/>
              <w:bottom w:w="0" w:type="dxa"/>
              <w:right w:w="108" w:type="dxa"/>
            </w:tcMar>
            <w:vAlign w:val="bottom"/>
            <w:hideMark/>
          </w:tcPr>
          <w:p w:rsidR="00AE553F" w:rsidRDefault="00AE553F" w:rsidP="00AE553F">
            <w:pPr>
              <w:jc w:val="center"/>
              <w:rPr>
                <w:rFonts w:ascii="Calibri" w:hAnsi="Calibri"/>
                <w:color w:val="000000"/>
                <w:lang w:eastAsia="en-GB"/>
              </w:rPr>
            </w:pPr>
            <w:r>
              <w:rPr>
                <w:color w:val="000000"/>
                <w:lang w:eastAsia="en-GB"/>
              </w:rPr>
              <w:t>18</w:t>
            </w:r>
          </w:p>
        </w:tc>
      </w:tr>
    </w:tbl>
    <w:p w:rsidR="00AE553F" w:rsidRPr="0099769C" w:rsidRDefault="00AE553F" w:rsidP="0099769C">
      <w:pPr>
        <w:rPr>
          <w:rFonts w:ascii="Arial" w:hAnsi="Arial" w:cs="Arial"/>
        </w:rPr>
      </w:pPr>
    </w:p>
    <w:sectPr w:rsidR="00AE553F" w:rsidRPr="0099769C" w:rsidSect="000565E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B47"/>
    <w:multiLevelType w:val="hybridMultilevel"/>
    <w:tmpl w:val="5DC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5AC"/>
    <w:multiLevelType w:val="hybridMultilevel"/>
    <w:tmpl w:val="BA20C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470AC"/>
    <w:multiLevelType w:val="hybridMultilevel"/>
    <w:tmpl w:val="978A1D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BB86E46"/>
    <w:multiLevelType w:val="hybridMultilevel"/>
    <w:tmpl w:val="7500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C113A"/>
    <w:multiLevelType w:val="hybridMultilevel"/>
    <w:tmpl w:val="28CA3CD2"/>
    <w:lvl w:ilvl="0" w:tplc="BA1C45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D28DD"/>
    <w:multiLevelType w:val="hybridMultilevel"/>
    <w:tmpl w:val="CA42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A4B33"/>
    <w:multiLevelType w:val="hybridMultilevel"/>
    <w:tmpl w:val="2F289F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E150E33"/>
    <w:multiLevelType w:val="hybridMultilevel"/>
    <w:tmpl w:val="FA540348"/>
    <w:lvl w:ilvl="0" w:tplc="0809000F">
      <w:start w:val="1"/>
      <w:numFmt w:val="decimal"/>
      <w:lvlText w:val="%1."/>
      <w:lvlJc w:val="left"/>
      <w:pPr>
        <w:ind w:left="1572" w:hanging="360"/>
      </w:pPr>
    </w:lvl>
    <w:lvl w:ilvl="1" w:tplc="08090019">
      <w:start w:val="1"/>
      <w:numFmt w:val="lowerLetter"/>
      <w:lvlText w:val="%2."/>
      <w:lvlJc w:val="left"/>
      <w:pPr>
        <w:ind w:left="2292" w:hanging="360"/>
      </w:pPr>
    </w:lvl>
    <w:lvl w:ilvl="2" w:tplc="0809001B">
      <w:start w:val="1"/>
      <w:numFmt w:val="lowerRoman"/>
      <w:lvlText w:val="%3."/>
      <w:lvlJc w:val="right"/>
      <w:pPr>
        <w:ind w:left="3012" w:hanging="180"/>
      </w:pPr>
    </w:lvl>
    <w:lvl w:ilvl="3" w:tplc="0809000F">
      <w:start w:val="1"/>
      <w:numFmt w:val="decimal"/>
      <w:lvlText w:val="%4."/>
      <w:lvlJc w:val="left"/>
      <w:pPr>
        <w:ind w:left="3732" w:hanging="360"/>
      </w:pPr>
    </w:lvl>
    <w:lvl w:ilvl="4" w:tplc="08090019">
      <w:start w:val="1"/>
      <w:numFmt w:val="lowerLetter"/>
      <w:lvlText w:val="%5."/>
      <w:lvlJc w:val="left"/>
      <w:pPr>
        <w:ind w:left="4452" w:hanging="360"/>
      </w:pPr>
    </w:lvl>
    <w:lvl w:ilvl="5" w:tplc="0809001B">
      <w:start w:val="1"/>
      <w:numFmt w:val="lowerRoman"/>
      <w:lvlText w:val="%6."/>
      <w:lvlJc w:val="right"/>
      <w:pPr>
        <w:ind w:left="5172" w:hanging="180"/>
      </w:pPr>
    </w:lvl>
    <w:lvl w:ilvl="6" w:tplc="0809000F">
      <w:start w:val="1"/>
      <w:numFmt w:val="decimal"/>
      <w:lvlText w:val="%7."/>
      <w:lvlJc w:val="left"/>
      <w:pPr>
        <w:ind w:left="5892" w:hanging="360"/>
      </w:pPr>
    </w:lvl>
    <w:lvl w:ilvl="7" w:tplc="08090019">
      <w:start w:val="1"/>
      <w:numFmt w:val="lowerLetter"/>
      <w:lvlText w:val="%8."/>
      <w:lvlJc w:val="left"/>
      <w:pPr>
        <w:ind w:left="6612" w:hanging="360"/>
      </w:pPr>
    </w:lvl>
    <w:lvl w:ilvl="8" w:tplc="0809001B">
      <w:start w:val="1"/>
      <w:numFmt w:val="lowerRoman"/>
      <w:lvlText w:val="%9."/>
      <w:lvlJc w:val="right"/>
      <w:pPr>
        <w:ind w:left="7332" w:hanging="180"/>
      </w:pPr>
    </w:lvl>
  </w:abstractNum>
  <w:abstractNum w:abstractNumId="8" w15:restartNumberingAfterBreak="0">
    <w:nsid w:val="6D0F2307"/>
    <w:multiLevelType w:val="hybridMultilevel"/>
    <w:tmpl w:val="FFF2940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706B0F10"/>
    <w:multiLevelType w:val="hybridMultilevel"/>
    <w:tmpl w:val="10A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8"/>
  </w:num>
  <w:num w:numId="6">
    <w:abstractNumId w:val="5"/>
  </w:num>
  <w:num w:numId="7">
    <w:abstractNumId w:val="6"/>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8E"/>
    <w:rsid w:val="000565E0"/>
    <w:rsid w:val="00074FA5"/>
    <w:rsid w:val="00191404"/>
    <w:rsid w:val="001B0C6E"/>
    <w:rsid w:val="001F1573"/>
    <w:rsid w:val="00201A0D"/>
    <w:rsid w:val="002200EB"/>
    <w:rsid w:val="00314569"/>
    <w:rsid w:val="00386222"/>
    <w:rsid w:val="00405D1C"/>
    <w:rsid w:val="005D56D9"/>
    <w:rsid w:val="00672BF5"/>
    <w:rsid w:val="00823E85"/>
    <w:rsid w:val="008A095B"/>
    <w:rsid w:val="0099769C"/>
    <w:rsid w:val="009B7F8B"/>
    <w:rsid w:val="009E43B3"/>
    <w:rsid w:val="00AA1184"/>
    <w:rsid w:val="00AC11AA"/>
    <w:rsid w:val="00AD23D5"/>
    <w:rsid w:val="00AE553F"/>
    <w:rsid w:val="00B9318E"/>
    <w:rsid w:val="00CB4BA2"/>
    <w:rsid w:val="00D02E8D"/>
    <w:rsid w:val="00D07656"/>
    <w:rsid w:val="00DF1B04"/>
    <w:rsid w:val="00EB49D6"/>
    <w:rsid w:val="00EB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71F6-E124-4B4F-BBA9-04CE02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EB"/>
    <w:pPr>
      <w:ind w:left="720"/>
      <w:contextualSpacing/>
    </w:pPr>
  </w:style>
  <w:style w:type="table" w:styleId="TableGrid">
    <w:name w:val="Table Grid"/>
    <w:basedOn w:val="TableNormal"/>
    <w:uiPriority w:val="39"/>
    <w:rsid w:val="00AA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1748">
      <w:bodyDiv w:val="1"/>
      <w:marLeft w:val="0"/>
      <w:marRight w:val="0"/>
      <w:marTop w:val="0"/>
      <w:marBottom w:val="0"/>
      <w:divBdr>
        <w:top w:val="none" w:sz="0" w:space="0" w:color="auto"/>
        <w:left w:val="none" w:sz="0" w:space="0" w:color="auto"/>
        <w:bottom w:val="none" w:sz="0" w:space="0" w:color="auto"/>
        <w:right w:val="none" w:sz="0" w:space="0" w:color="auto"/>
      </w:divBdr>
    </w:div>
    <w:div w:id="754592152">
      <w:bodyDiv w:val="1"/>
      <w:marLeft w:val="0"/>
      <w:marRight w:val="0"/>
      <w:marTop w:val="0"/>
      <w:marBottom w:val="0"/>
      <w:divBdr>
        <w:top w:val="none" w:sz="0" w:space="0" w:color="auto"/>
        <w:left w:val="none" w:sz="0" w:space="0" w:color="auto"/>
        <w:bottom w:val="none" w:sz="0" w:space="0" w:color="auto"/>
        <w:right w:val="none" w:sz="0" w:space="0" w:color="auto"/>
      </w:divBdr>
    </w:div>
    <w:div w:id="1092435033">
      <w:bodyDiv w:val="1"/>
      <w:marLeft w:val="0"/>
      <w:marRight w:val="0"/>
      <w:marTop w:val="0"/>
      <w:marBottom w:val="0"/>
      <w:divBdr>
        <w:top w:val="none" w:sz="0" w:space="0" w:color="auto"/>
        <w:left w:val="none" w:sz="0" w:space="0" w:color="auto"/>
        <w:bottom w:val="none" w:sz="0" w:space="0" w:color="auto"/>
        <w:right w:val="none" w:sz="0" w:space="0" w:color="auto"/>
      </w:divBdr>
    </w:div>
    <w:div w:id="1530602941">
      <w:bodyDiv w:val="1"/>
      <w:marLeft w:val="0"/>
      <w:marRight w:val="0"/>
      <w:marTop w:val="0"/>
      <w:marBottom w:val="0"/>
      <w:divBdr>
        <w:top w:val="none" w:sz="0" w:space="0" w:color="auto"/>
        <w:left w:val="none" w:sz="0" w:space="0" w:color="auto"/>
        <w:bottom w:val="none" w:sz="0" w:space="0" w:color="auto"/>
        <w:right w:val="none" w:sz="0" w:space="0" w:color="auto"/>
      </w:divBdr>
    </w:div>
    <w:div w:id="1803497888">
      <w:bodyDiv w:val="1"/>
      <w:marLeft w:val="0"/>
      <w:marRight w:val="0"/>
      <w:marTop w:val="0"/>
      <w:marBottom w:val="0"/>
      <w:divBdr>
        <w:top w:val="none" w:sz="0" w:space="0" w:color="auto"/>
        <w:left w:val="none" w:sz="0" w:space="0" w:color="auto"/>
        <w:bottom w:val="none" w:sz="0" w:space="0" w:color="auto"/>
        <w:right w:val="none" w:sz="0" w:space="0" w:color="auto"/>
      </w:divBdr>
    </w:div>
    <w:div w:id="20652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Katherine (CYP)</dc:creator>
  <cp:keywords/>
  <dc:description/>
  <cp:lastModifiedBy>Parker, Sam</cp:lastModifiedBy>
  <cp:revision>2</cp:revision>
  <dcterms:created xsi:type="dcterms:W3CDTF">2018-11-21T13:28:00Z</dcterms:created>
  <dcterms:modified xsi:type="dcterms:W3CDTF">2018-11-28T15:42:00Z</dcterms:modified>
</cp:coreProperties>
</file>